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99" w:rsidRDefault="006F2999">
      <w:pPr>
        <w:pStyle w:val="ConsPlusNormal"/>
        <w:jc w:val="both"/>
        <w:outlineLvl w:val="0"/>
      </w:pPr>
    </w:p>
    <w:p w:rsidR="006F2999" w:rsidRDefault="006F2999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6F2999" w:rsidRDefault="006F2999">
      <w:pPr>
        <w:pStyle w:val="ConsPlusTitle"/>
        <w:jc w:val="center"/>
      </w:pPr>
      <w:r>
        <w:t>ЯРОСЛАВСКОЙ ОБЛАСТИ</w:t>
      </w:r>
    </w:p>
    <w:p w:rsidR="006F2999" w:rsidRDefault="006F2999">
      <w:pPr>
        <w:pStyle w:val="ConsPlusTitle"/>
        <w:jc w:val="center"/>
      </w:pPr>
    </w:p>
    <w:p w:rsidR="006F2999" w:rsidRDefault="006F2999">
      <w:pPr>
        <w:pStyle w:val="ConsPlusTitle"/>
        <w:jc w:val="center"/>
      </w:pPr>
      <w:r>
        <w:t>ПОСТАНОВЛЕНИЕ</w:t>
      </w:r>
    </w:p>
    <w:p w:rsidR="006F2999" w:rsidRDefault="006F2999">
      <w:pPr>
        <w:pStyle w:val="ConsPlusTitle"/>
        <w:jc w:val="center"/>
      </w:pPr>
      <w:r>
        <w:t>от 15 сентября 2020 г. N 2065</w:t>
      </w:r>
    </w:p>
    <w:p w:rsidR="006F2999" w:rsidRDefault="006F2999">
      <w:pPr>
        <w:pStyle w:val="ConsPlusTitle"/>
        <w:jc w:val="center"/>
      </w:pPr>
    </w:p>
    <w:p w:rsidR="006F2999" w:rsidRDefault="006F2999">
      <w:pPr>
        <w:pStyle w:val="ConsPlusTitle"/>
        <w:jc w:val="center"/>
      </w:pPr>
      <w:r>
        <w:t>ОБ УТВЕРЖДЕНИИ МУНИЦИПАЛЬНОЙ ПРОГРАММЫ</w:t>
      </w:r>
    </w:p>
    <w:p w:rsidR="006F2999" w:rsidRDefault="006F2999">
      <w:pPr>
        <w:pStyle w:val="ConsPlusTitle"/>
        <w:jc w:val="center"/>
      </w:pPr>
      <w:r>
        <w:t>"УПРАВЛЕНИЕ МУНИЦИПАЛЬНЫМИ ФИНАНСАМИ"</w:t>
      </w:r>
    </w:p>
    <w:p w:rsidR="006F2999" w:rsidRDefault="006F29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6F299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7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8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9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6F2999" w:rsidRDefault="006F29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10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11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2">
              <w:r>
                <w:rPr>
                  <w:color w:val="0000FF"/>
                </w:rPr>
                <w:t>N 4939</w:t>
              </w:r>
            </w:hyperlink>
            <w:r>
              <w:rPr>
                <w:color w:val="392C69"/>
              </w:rPr>
              <w:t>,</w:t>
            </w:r>
          </w:p>
          <w:p w:rsidR="006F2999" w:rsidRDefault="006F2999" w:rsidP="007868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13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14.03.2024 </w:t>
            </w:r>
            <w:hyperlink r:id="rId14">
              <w:r>
                <w:rPr>
                  <w:color w:val="0000FF"/>
                </w:rPr>
                <w:t>N 265</w:t>
              </w:r>
            </w:hyperlink>
            <w:r w:rsidR="00B8502C">
              <w:rPr>
                <w:color w:val="0000FF"/>
              </w:rPr>
              <w:t xml:space="preserve">, </w:t>
            </w:r>
            <w:r w:rsidR="00B8502C">
              <w:rPr>
                <w:color w:val="392C69"/>
              </w:rPr>
              <w:t xml:space="preserve">от 30.08.2024 </w:t>
            </w:r>
            <w:hyperlink r:id="rId15">
              <w:r w:rsidR="00B8502C">
                <w:rPr>
                  <w:color w:val="0000FF"/>
                </w:rPr>
                <w:t xml:space="preserve">N </w:t>
              </w:r>
            </w:hyperlink>
            <w:r w:rsidR="00B8502C">
              <w:rPr>
                <w:color w:val="0000FF"/>
              </w:rPr>
              <w:t>966</w:t>
            </w:r>
            <w:r w:rsidR="00786833">
              <w:rPr>
                <w:color w:val="0000FF"/>
              </w:rPr>
              <w:t xml:space="preserve">, </w:t>
            </w:r>
            <w:r w:rsidR="00786833">
              <w:rPr>
                <w:color w:val="392C69"/>
              </w:rPr>
              <w:t xml:space="preserve">от </w:t>
            </w:r>
            <w:r w:rsidR="00786833">
              <w:rPr>
                <w:color w:val="392C69"/>
              </w:rPr>
              <w:t>24.03.2025</w:t>
            </w:r>
            <w:r w:rsidR="00786833">
              <w:rPr>
                <w:color w:val="392C69"/>
              </w:rPr>
              <w:t xml:space="preserve"> </w:t>
            </w:r>
            <w:hyperlink r:id="rId16">
              <w:r w:rsidR="00786833">
                <w:rPr>
                  <w:color w:val="0000FF"/>
                </w:rPr>
                <w:t xml:space="preserve">N </w:t>
              </w:r>
            </w:hyperlink>
            <w:r w:rsidR="00786833">
              <w:rPr>
                <w:color w:val="0000FF"/>
              </w:rPr>
              <w:t>284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2999" w:rsidRDefault="006F2999">
            <w:pPr>
              <w:pStyle w:val="ConsPlusNormal"/>
            </w:pPr>
          </w:p>
        </w:tc>
      </w:tr>
    </w:tbl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 xml:space="preserve">В соответствии со </w:t>
      </w:r>
      <w:hyperlink r:id="rId17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9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1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ПОСТАНОВЛЯЮ: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2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6F2999" w:rsidRDefault="006F2999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3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Администрации.</w:t>
      </w:r>
    </w:p>
    <w:p w:rsidR="006F2999" w:rsidRDefault="006F2999">
      <w:pPr>
        <w:pStyle w:val="ConsPlusNormal"/>
        <w:jc w:val="both"/>
      </w:pPr>
    </w:p>
    <w:p w:rsidR="006F2999" w:rsidRDefault="006F2999">
      <w:pPr>
        <w:pStyle w:val="ConsPlusNormal"/>
        <w:jc w:val="right"/>
      </w:pPr>
      <w:r>
        <w:t>Глава</w:t>
      </w:r>
    </w:p>
    <w:p w:rsidR="006F2999" w:rsidRDefault="006F2999">
      <w:pPr>
        <w:pStyle w:val="ConsPlusNormal"/>
        <w:jc w:val="right"/>
      </w:pPr>
      <w:r>
        <w:t>городского округа</w:t>
      </w:r>
    </w:p>
    <w:p w:rsidR="006F2999" w:rsidRDefault="006F2999">
      <w:pPr>
        <w:pStyle w:val="ConsPlusNormal"/>
        <w:jc w:val="right"/>
      </w:pPr>
      <w:r>
        <w:t>город Рыбинск</w:t>
      </w:r>
    </w:p>
    <w:p w:rsidR="006F2999" w:rsidRDefault="006F2999">
      <w:pPr>
        <w:pStyle w:val="ConsPlusNormal"/>
        <w:jc w:val="right"/>
      </w:pPr>
      <w:r>
        <w:t>Д.В.ДОБРЯКОВ</w:t>
      </w:r>
    </w:p>
    <w:tbl>
      <w:tblPr>
        <w:tblpPr w:leftFromText="180" w:rightFromText="180" w:vertAnchor="text" w:horzAnchor="margin" w:tblpY="-233"/>
        <w:tblW w:w="0" w:type="auto"/>
        <w:tblLook w:val="04A0" w:firstRow="1" w:lastRow="0" w:firstColumn="1" w:lastColumn="0" w:noHBand="0" w:noVBand="1"/>
      </w:tblPr>
      <w:tblGrid>
        <w:gridCol w:w="5629"/>
        <w:gridCol w:w="4576"/>
      </w:tblGrid>
      <w:tr w:rsidR="00B8502C" w:rsidRPr="00D12182" w:rsidTr="002360DC">
        <w:tc>
          <w:tcPr>
            <w:tcW w:w="5778" w:type="dxa"/>
          </w:tcPr>
          <w:p w:rsidR="00B8502C" w:rsidRPr="00B53399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43" w:type="dxa"/>
          </w:tcPr>
          <w:p w:rsidR="00B8502C" w:rsidRPr="00D12182" w:rsidRDefault="00B8502C" w:rsidP="002360DC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8502C" w:rsidRPr="00D12182" w:rsidRDefault="00B8502C" w:rsidP="002360DC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город Рыбинск</w:t>
            </w:r>
          </w:p>
          <w:p w:rsidR="00B8502C" w:rsidRPr="00D12182" w:rsidRDefault="00B8502C" w:rsidP="002360DC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 xml:space="preserve">Ярославской области </w:t>
            </w:r>
          </w:p>
          <w:p w:rsidR="00B8502C" w:rsidRPr="00D12182" w:rsidRDefault="00B8502C" w:rsidP="002360DC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182">
              <w:rPr>
                <w:rFonts w:ascii="Times New Roman" w:hAnsi="Times New Roman"/>
                <w:sz w:val="28"/>
                <w:szCs w:val="28"/>
              </w:rPr>
              <w:t>от 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D12182">
              <w:rPr>
                <w:rFonts w:ascii="Times New Roman" w:hAnsi="Times New Roman"/>
                <w:sz w:val="28"/>
                <w:szCs w:val="28"/>
              </w:rPr>
              <w:t xml:space="preserve"> № 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B8502C" w:rsidRPr="00D12182" w:rsidRDefault="00B8502C" w:rsidP="002360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502C" w:rsidRPr="00D12182" w:rsidRDefault="00B8502C" w:rsidP="00B85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02C" w:rsidRPr="00D12182" w:rsidRDefault="00B8502C" w:rsidP="00B85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2182">
        <w:rPr>
          <w:rFonts w:ascii="Times New Roman" w:hAnsi="Times New Roman"/>
          <w:sz w:val="28"/>
          <w:szCs w:val="28"/>
        </w:rPr>
        <w:t>Муниципальная программа «Управление муниципальными финансами»</w:t>
      </w:r>
      <w:r w:rsidRPr="00D12182">
        <w:rPr>
          <w:rFonts w:ascii="Bookman Old Style" w:hAnsi="Bookman Old Style"/>
          <w:noProof/>
          <w:sz w:val="32"/>
          <w:szCs w:val="24"/>
        </w:rPr>
        <w:t xml:space="preserve"> </w:t>
      </w:r>
      <w:r w:rsidRPr="00D12182">
        <w:rPr>
          <w:rFonts w:ascii="Bookman Old Style" w:hAnsi="Bookman Old Style"/>
          <w:noProof/>
          <w:sz w:val="32"/>
          <w:szCs w:val="24"/>
        </w:rPr>
        <w:drawing>
          <wp:inline distT="0" distB="0" distL="0" distR="0">
            <wp:extent cx="4762500" cy="165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B8502C" w:rsidRPr="00D12182" w:rsidRDefault="00B8502C" w:rsidP="00B8502C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ar-SA"/>
        </w:rPr>
      </w:pPr>
      <w:r w:rsidRPr="00D12182">
        <w:rPr>
          <w:rFonts w:ascii="Times New Roman" w:hAnsi="Times New Roman"/>
          <w:b/>
          <w:bCs/>
          <w:sz w:val="28"/>
          <w:szCs w:val="24"/>
          <w:lang w:eastAsia="ar-SA"/>
        </w:rPr>
        <w:t>Рыбинск - 202</w:t>
      </w:r>
      <w:r>
        <w:rPr>
          <w:rFonts w:ascii="Times New Roman" w:hAnsi="Times New Roman"/>
          <w:b/>
          <w:bCs/>
          <w:sz w:val="28"/>
          <w:szCs w:val="24"/>
          <w:lang w:eastAsia="ar-SA"/>
        </w:rPr>
        <w:t>4</w:t>
      </w:r>
    </w:p>
    <w:p w:rsidR="00B8502C" w:rsidRDefault="00B8502C" w:rsidP="00B8502C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p w:rsidR="00786833" w:rsidRDefault="00786833" w:rsidP="00B8502C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p w:rsidR="00786833" w:rsidRDefault="00786833" w:rsidP="00B8502C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p w:rsidR="00786833" w:rsidRPr="008B6B60" w:rsidRDefault="00786833" w:rsidP="0078683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734"/>
        <w:gridCol w:w="1648"/>
      </w:tblGrid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808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Паспорт муниципальной программы «Управление муниципальными финансами»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Анализ и оценка проблемы, решение которой осуществляется путем реализации муниципальной 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Паспорт подпрограммы «</w:t>
            </w: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Управление муниципальным долгом городского округа город Рыбинск Ярославской области»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Паспорт подпрограммы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86833" w:rsidRPr="008B6B60" w:rsidTr="005C4805">
        <w:tc>
          <w:tcPr>
            <w:tcW w:w="399" w:type="pct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3793" w:type="pct"/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808" w:type="pct"/>
            <w:vAlign w:val="center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br w:type="page"/>
      </w:r>
      <w:r w:rsidRPr="008B6B60">
        <w:rPr>
          <w:rFonts w:ascii="Times New Roman" w:hAnsi="Times New Roman"/>
          <w:caps/>
          <w:sz w:val="28"/>
          <w:szCs w:val="28"/>
        </w:rPr>
        <w:lastRenderedPageBreak/>
        <w:t>Паспорт муниципальной программы «управление муниципальными финансами»</w:t>
      </w: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11"/>
        <w:gridCol w:w="7984"/>
      </w:tblGrid>
      <w:tr w:rsidR="00786833" w:rsidRPr="008B6B60" w:rsidTr="005C480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 Управление муниципальными финансами</w:t>
            </w:r>
          </w:p>
        </w:tc>
      </w:tr>
      <w:tr w:rsidR="00786833" w:rsidRPr="008B6B60" w:rsidTr="005C480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2025 – 2027 годы</w:t>
            </w:r>
          </w:p>
        </w:tc>
      </w:tr>
      <w:tr w:rsidR="00786833" w:rsidRPr="008B6B60" w:rsidTr="005C480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29.02.2024;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утратившими силу отдельных постановлений Правительства области»;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области в отношении бюджетных кредитов из областного бюджета»;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10.04.2020 № 316-п «Об утверждении Порядка проведения оценки долговой устойчивости муниципальных образований Ярославской области»;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30.09.2024 № 298 «Об основных направлениях бюджетной и налоговой политики Ярославской области на 2025 год и на плановый период 2026 и 2027»;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8B6B60">
              <w:rPr>
                <w:rFonts w:ascii="Times New Roman" w:eastAsia="Calibri" w:hAnsi="Times New Roman"/>
                <w:sz w:val="28"/>
                <w:szCs w:val="28"/>
              </w:rPr>
              <w:t>19.12.2019 № 98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12.12.2024 № 126 «О бюджете городского округа город Рыбинск Ярославской области на 2025 год и на плановый период 2026 и 2027 годов»;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lastRenderedPageBreak/>
              <w:t>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27.02.2014 № 313 «О Положении о бюджетном процессе в городском округе город Рыбинск Ярославской области»;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22.12.2023 № 1711 «Об утверждении бюджетного прогноза городского округа город Рыбинск Ярославской области на 2024-2029 годы»;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786833" w:rsidRPr="008B6B60" w:rsidRDefault="00786833" w:rsidP="005C4805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18.10.2024 № 1148 «Об основных направлениях бюджетной и налоговой политики городского округа город Рыбинск Ярославской области на 2025 год и на плановый период 2026 и 2027 годов»</w:t>
            </w:r>
          </w:p>
        </w:tc>
      </w:tr>
      <w:tr w:rsidR="00786833" w:rsidRPr="008B6B60" w:rsidTr="005C4805">
        <w:trPr>
          <w:trHeight w:val="3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786833" w:rsidRPr="008B6B60" w:rsidTr="005C4805">
        <w:trPr>
          <w:trHeight w:val="3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786833" w:rsidRPr="008B6B60" w:rsidTr="005C4805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Руководитель программы - ответственный исполнитель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финансов Администрации городского округа город Рыбинск Ярославской области </w:t>
            </w:r>
          </w:p>
        </w:tc>
      </w:tr>
      <w:tr w:rsidR="00786833" w:rsidRPr="008B6B60" w:rsidTr="005C4805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Куратор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</w:t>
            </w:r>
          </w:p>
        </w:tc>
      </w:tr>
      <w:tr w:rsidR="00786833" w:rsidRPr="008B6B60" w:rsidTr="005C4805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</w:t>
            </w:r>
            <w:r w:rsidRPr="00CF1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Подпрограмма «Управление муниципальным долгом городского округа город Рыбинск Ярославской области»;</w:t>
            </w:r>
          </w:p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</w:t>
            </w:r>
            <w:r w:rsidRPr="00CF1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Подпрограмма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области».</w:t>
            </w:r>
          </w:p>
        </w:tc>
      </w:tr>
      <w:tr w:rsidR="00786833" w:rsidRPr="008B6B60" w:rsidTr="005C4805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786833">
            <w:pPr>
              <w:numPr>
                <w:ilvl w:val="0"/>
                <w:numId w:val="2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области;</w:t>
            </w:r>
          </w:p>
          <w:p w:rsidR="00786833" w:rsidRPr="008B6B60" w:rsidRDefault="00786833" w:rsidP="00786833">
            <w:pPr>
              <w:numPr>
                <w:ilvl w:val="0"/>
                <w:numId w:val="2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финансовой муниципальной информационной системы (далее - МИС).</w:t>
            </w:r>
          </w:p>
        </w:tc>
      </w:tr>
      <w:tr w:rsidR="00786833" w:rsidRPr="008B6B60" w:rsidTr="005C4805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786833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Федерации;</w:t>
            </w:r>
          </w:p>
          <w:p w:rsidR="00786833" w:rsidRPr="008B6B60" w:rsidRDefault="00786833" w:rsidP="00786833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lastRenderedPageBreak/>
              <w:t>Сокращение муниципального долга;</w:t>
            </w:r>
          </w:p>
          <w:p w:rsidR="00786833" w:rsidRPr="008B6B60" w:rsidRDefault="00786833" w:rsidP="00786833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786833" w:rsidRPr="008B6B60" w:rsidRDefault="00786833" w:rsidP="00786833">
            <w:pPr>
              <w:numPr>
                <w:ilvl w:val="0"/>
                <w:numId w:val="34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МИС.</w:t>
            </w:r>
          </w:p>
        </w:tc>
      </w:tr>
      <w:tr w:rsidR="00786833" w:rsidRPr="008B6B60" w:rsidTr="005C4805">
        <w:trPr>
          <w:trHeight w:val="25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бюджете/финансовая потребность) 142</w:t>
            </w:r>
            <w:r w:rsidRPr="00CF1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428,8/144 079,4</w:t>
            </w:r>
            <w:r w:rsidRPr="00CF1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58"/>
              <w:gridCol w:w="2943"/>
              <w:gridCol w:w="2957"/>
            </w:tblGrid>
            <w:tr w:rsidR="00786833" w:rsidRPr="008B6B60" w:rsidTr="005C4805">
              <w:tc>
                <w:tcPr>
                  <w:tcW w:w="1197" w:type="pct"/>
                </w:tcPr>
                <w:p w:rsidR="00786833" w:rsidRPr="008B6B60" w:rsidRDefault="00786833" w:rsidP="005C4805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8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Выделено</w:t>
                  </w:r>
                </w:p>
              </w:tc>
              <w:tc>
                <w:tcPr>
                  <w:tcW w:w="190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Потребность</w:t>
                  </w:r>
                </w:p>
              </w:tc>
            </w:tr>
            <w:tr w:rsidR="00786833" w:rsidRPr="008B6B60" w:rsidTr="005C4805">
              <w:tc>
                <w:tcPr>
                  <w:tcW w:w="11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2025 год</w:t>
                  </w:r>
                </w:p>
              </w:tc>
              <w:tc>
                <w:tcPr>
                  <w:tcW w:w="18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26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455,0</w:t>
                  </w:r>
                </w:p>
              </w:tc>
              <w:tc>
                <w:tcPr>
                  <w:tcW w:w="190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27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005,2</w:t>
                  </w:r>
                </w:p>
              </w:tc>
            </w:tr>
            <w:tr w:rsidR="00786833" w:rsidRPr="008B6B60" w:rsidTr="005C4805">
              <w:tc>
                <w:tcPr>
                  <w:tcW w:w="11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2026 год</w:t>
                  </w:r>
                </w:p>
              </w:tc>
              <w:tc>
                <w:tcPr>
                  <w:tcW w:w="18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57986,9</w:t>
                  </w:r>
                </w:p>
              </w:tc>
              <w:tc>
                <w:tcPr>
                  <w:tcW w:w="190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58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537,1</w:t>
                  </w:r>
                </w:p>
              </w:tc>
            </w:tr>
            <w:tr w:rsidR="00786833" w:rsidRPr="008B6B60" w:rsidTr="005C4805">
              <w:tc>
                <w:tcPr>
                  <w:tcW w:w="11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2027 год</w:t>
                  </w:r>
                </w:p>
              </w:tc>
              <w:tc>
                <w:tcPr>
                  <w:tcW w:w="18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57986,9</w:t>
                  </w:r>
                </w:p>
              </w:tc>
              <w:tc>
                <w:tcPr>
                  <w:tcW w:w="190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58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537,1</w:t>
                  </w:r>
                </w:p>
              </w:tc>
            </w:tr>
            <w:tr w:rsidR="00786833" w:rsidRPr="008B6B60" w:rsidTr="005C4805">
              <w:tc>
                <w:tcPr>
                  <w:tcW w:w="11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1897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142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428,8</w:t>
                  </w:r>
                </w:p>
              </w:tc>
              <w:tc>
                <w:tcPr>
                  <w:tcW w:w="190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144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7"/>
                      <w:szCs w:val="27"/>
                    </w:rPr>
                    <w:t>079,4</w:t>
                  </w:r>
                </w:p>
              </w:tc>
            </w:tr>
          </w:tbl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833" w:rsidRPr="008B6B60" w:rsidTr="005C4805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786833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6B60">
              <w:rPr>
                <w:rFonts w:ascii="Times New Roman" w:hAnsi="Times New Roman"/>
                <w:sz w:val="28"/>
                <w:szCs w:val="28"/>
              </w:rPr>
              <w:t>Непревышение</w:t>
            </w:r>
            <w:proofErr w:type="spellEnd"/>
            <w:r w:rsidRPr="008B6B60">
              <w:rPr>
                <w:rFonts w:ascii="Times New Roman" w:hAnsi="Times New Roman"/>
                <w:sz w:val="28"/>
                <w:szCs w:val="28"/>
              </w:rPr>
              <w:t xml:space="preserve"> долговой нагрузки над собственными доходами согласно Бюджетного кодекса Российской Федерации;</w:t>
            </w:r>
          </w:p>
          <w:p w:rsidR="00786833" w:rsidRPr="008B6B60" w:rsidRDefault="00786833" w:rsidP="00786833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Устойчивая сбалансированность бюджета городского округа город Рыбинск Ярославской области;</w:t>
            </w:r>
          </w:p>
          <w:p w:rsidR="00786833" w:rsidRPr="008B6B60" w:rsidRDefault="00786833" w:rsidP="00786833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786833" w:rsidRPr="008B6B60" w:rsidRDefault="00786833" w:rsidP="00786833">
            <w:pPr>
              <w:numPr>
                <w:ilvl w:val="0"/>
                <w:numId w:val="2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833" w:rsidRPr="008B6B60" w:rsidRDefault="00786833" w:rsidP="00786833">
      <w:pPr>
        <w:spacing w:after="0" w:line="240" w:lineRule="auto"/>
        <w:ind w:right="-285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t>Анализ и оценка проблемы, решение которой осуществляется путем реализации муниципальной программы</w:t>
      </w:r>
    </w:p>
    <w:p w:rsidR="00786833" w:rsidRPr="008B6B60" w:rsidRDefault="00786833" w:rsidP="00786833">
      <w:pPr>
        <w:spacing w:after="0" w:line="240" w:lineRule="auto"/>
        <w:ind w:right="-285"/>
        <w:jc w:val="both"/>
        <w:rPr>
          <w:rFonts w:ascii="Times New Roman" w:hAnsi="Times New Roman"/>
          <w:caps/>
          <w:sz w:val="28"/>
          <w:szCs w:val="28"/>
        </w:rPr>
      </w:pPr>
    </w:p>
    <w:p w:rsidR="00786833" w:rsidRPr="008B6B60" w:rsidRDefault="00786833" w:rsidP="00786833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 xml:space="preserve">Решение имеющихся задач социально-экономического развития городского округа город Рыбинск </w:t>
      </w:r>
      <w:r w:rsidRPr="008B6B60">
        <w:rPr>
          <w:rFonts w:ascii="Times New Roman" w:hAnsi="Times New Roman"/>
          <w:sz w:val="28"/>
          <w:szCs w:val="28"/>
        </w:rPr>
        <w:t>Ярославской области</w:t>
      </w:r>
      <w:r w:rsidRPr="008B6B60">
        <w:rPr>
          <w:rFonts w:ascii="Times New Roman" w:hAnsi="Times New Roman"/>
          <w:color w:val="000000"/>
          <w:sz w:val="28"/>
          <w:szCs w:val="28"/>
        </w:rPr>
        <w:t xml:space="preserve"> (далее –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– бюджет городского округа) свидетельствует об ограниченных возможностях для дальнейшего наращивания бюджетных расходов.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сокращения расходов по обслуживанию муниципального долга за счет снижения процентной ставки.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 xml:space="preserve">Коммерческие кредиты заменены на бюджетные кредиты сроком на 3 года в 2021 году в сумме 282,518 млн. руб., в 2022 году в сумме 806,5 млн. руб. 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 2022 году прекращены обязательства по возврату в областной бюджет бюджетных кредитов на сумму 275,5 млн. руб.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 xml:space="preserve">Муниципальный долг по состоянию на 01.01.2025 составляет 1073,8 млн. руб. Объем муниципального долга всегда остается в управляемых границах и не </w:t>
      </w:r>
      <w:r w:rsidRPr="008B6B60">
        <w:rPr>
          <w:rFonts w:ascii="Times New Roman" w:hAnsi="Times New Roman"/>
          <w:color w:val="000000"/>
          <w:sz w:val="28"/>
          <w:szCs w:val="28"/>
        </w:rPr>
        <w:lastRenderedPageBreak/>
        <w:t>противоречит нормам бюджетного законодательства Российской Федерации. Все финансовые обязательства по его обслуживанию исполняются в полном объеме и в установленные сроки.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 декабре 2023 года заключены договоры о предоставлении отсрочки по возврату бюджетных кредитов, что позволит экономить средства на обслуживание и погашение муниципального долга.</w:t>
      </w:r>
    </w:p>
    <w:p w:rsidR="00786833" w:rsidRPr="008B6B60" w:rsidRDefault="00786833" w:rsidP="00786833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 2009 году в Департаменте финансов Администрации городского округа город Рыбинск Ярославской области (далее – Департамент финансов) был осуществлен перевод Центра обработки данных (далее – ЦОД) в кластер виртуализации и кластер хранения. Это позволило обеспечить необходимые условия по надежности и масштабируемости муниципальной информационной системы (далее – МИС)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- ЭЦП) и других проектов по автоматизации функций Департамента финансов.</w:t>
      </w:r>
    </w:p>
    <w:p w:rsidR="00786833" w:rsidRPr="000527CD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 xml:space="preserve">В 2019 – 2020 годах проведены закупки по обновлению серверного кластера и расширение аппаратной части, однако, завершение обновления оборудования незакончено. В 2021 году приобретено и установлено на сервере 10 дисков </w:t>
      </w:r>
      <w:r w:rsidRPr="008B6B60">
        <w:rPr>
          <w:rFonts w:ascii="Times New Roman" w:hAnsi="Times New Roman"/>
          <w:color w:val="000000"/>
          <w:sz w:val="28"/>
          <w:szCs w:val="28"/>
          <w:lang w:val="en-US"/>
        </w:rPr>
        <w:t>SAS</w:t>
      </w:r>
      <w:r w:rsidRPr="008B6B60">
        <w:rPr>
          <w:rFonts w:ascii="Times New Roman" w:hAnsi="Times New Roman"/>
          <w:color w:val="000000"/>
          <w:sz w:val="28"/>
          <w:szCs w:val="28"/>
        </w:rPr>
        <w:t>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серверного кластера, новые серверы были полностью интегрированы в работу МИС.</w:t>
      </w:r>
    </w:p>
    <w:p w:rsidR="00786833" w:rsidRPr="008B6B60" w:rsidRDefault="00786833" w:rsidP="00786833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Несмотря на проведенные мероприятия на сегодняшний момент остаются следующие проблемы:</w:t>
      </w:r>
    </w:p>
    <w:p w:rsidR="00786833" w:rsidRPr="008B6B60" w:rsidRDefault="00786833" w:rsidP="00786833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аппаратная платформа на 50 % серверов выпуска 2009-2013 годах – требует частый ремонт и замены оборудования;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затраты на сопровождение (в т.ч. право на новые версии) системного ПО постоянно увеличиваются.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Для обеспечения дальнейшего развития МИС и закрепления достигнутых результатов в 2025-2027 годах необходимо: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продолжить использование обновленного оборудования для максимальной работоспособности МИС;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проводить обучение собственных сотрудников Департамента финансов по соответствующим профилям с целью возмещения отсутствия технической поддержки.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2025-2027 годах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документов по закупкам.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lastRenderedPageBreak/>
        <w:t xml:space="preserve"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реализации мероприятий подпрограммы, а </w:t>
      </w:r>
      <w:proofErr w:type="gramStart"/>
      <w:r w:rsidRPr="008B6B60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Pr="008B6B60">
        <w:rPr>
          <w:rFonts w:ascii="Times New Roman" w:hAnsi="Times New Roman"/>
          <w:color w:val="000000"/>
          <w:sz w:val="28"/>
          <w:szCs w:val="28"/>
        </w:rPr>
        <w:t xml:space="preserve">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6833" w:rsidRPr="008B6B60" w:rsidRDefault="00786833" w:rsidP="00786833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t>Паспорт подпрограммы «Управление муниципальным долгом городского округа город Рыбинск Ярославской области»</w:t>
      </w:r>
    </w:p>
    <w:p w:rsidR="00786833" w:rsidRPr="008B6B60" w:rsidRDefault="00786833" w:rsidP="007868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92"/>
        <w:gridCol w:w="7903"/>
      </w:tblGrid>
      <w:tr w:rsidR="00786833" w:rsidRPr="008B6B60" w:rsidTr="005C4805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городского округа город Рыбинск Ярославской области</w:t>
            </w:r>
          </w:p>
        </w:tc>
      </w:tr>
      <w:tr w:rsidR="00786833" w:rsidRPr="008B6B60" w:rsidTr="005C4805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2025 – 2027 годы</w:t>
            </w:r>
          </w:p>
        </w:tc>
      </w:tr>
      <w:tr w:rsidR="00786833" w:rsidRPr="008B6B60" w:rsidTr="005C4805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29.02.2024;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утратившими силу отдельных постановлений Правительства области»;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области в отношении бюджетных кредитов из областного бюджета»;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10.04.2020 № 316-п «Об утверждении Порядка проведения оценки долговой устойчивости муниципальных образований Ярославской области»;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30.09.2024 № 298 «Об основных направлениях бюджетной и налоговой политики Ярославской области на 2025 год и на плановый период 2026 и 2027»;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8B6B60">
              <w:rPr>
                <w:rFonts w:ascii="Times New Roman" w:eastAsia="Calibri" w:hAnsi="Times New Roman"/>
                <w:sz w:val="28"/>
                <w:szCs w:val="28"/>
              </w:rPr>
              <w:t>19.12.2019 № 98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решение Муниципального Совета городского округа город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lastRenderedPageBreak/>
              <w:t>Рыбинск от 12.12.2024 № 126 «О бюджете городского округа город Рыбинск Ярославской области на 2025 год и на плановый период 2026 и 2026 годов»;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27.02.2014 № 313 «О Положении о бюджетном процессе в городском округе город Рыбинск Ярославской области»;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22.12.2023 № 1711 «Об утверждении бюджетного прогноза городского округа город Рыбинск Ярославской области на 2024-2029 годы»;</w:t>
            </w:r>
          </w:p>
          <w:p w:rsidR="00786833" w:rsidRPr="008B6B60" w:rsidRDefault="00786833" w:rsidP="005C4805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18.10.2024 № 1148 «Об основных направлениях бюджетной и налоговой политики городского округа город Рыбинск Ярославской области на 2024 год и на плановый период 2025 и 2026 годов»;</w:t>
            </w:r>
          </w:p>
          <w:p w:rsidR="00786833" w:rsidRPr="008B6B60" w:rsidRDefault="00786833" w:rsidP="005C4805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786833" w:rsidRPr="008B6B60" w:rsidTr="005C4805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Заказчик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786833" w:rsidRPr="008B6B60" w:rsidTr="005C4805">
        <w:trPr>
          <w:trHeight w:val="47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Разработчик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</w:t>
            </w:r>
            <w:r w:rsidRPr="008B6B60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городского округа город Рыбинск Ярославской области</w:t>
            </w:r>
          </w:p>
        </w:tc>
      </w:tr>
      <w:tr w:rsidR="00786833" w:rsidRPr="008B6B60" w:rsidTr="005C4805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Директор Департамента финансов Администрации городского округа город Рыбинск Ярославской области</w:t>
            </w:r>
          </w:p>
        </w:tc>
      </w:tr>
      <w:tr w:rsidR="00786833" w:rsidRPr="008B6B60" w:rsidTr="005C4805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</w:tc>
      </w:tr>
      <w:tr w:rsidR="00786833" w:rsidRPr="008B6B60" w:rsidTr="005C4805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Цели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области.</w:t>
            </w:r>
          </w:p>
        </w:tc>
      </w:tr>
      <w:tr w:rsidR="00786833" w:rsidRPr="008B6B60" w:rsidTr="005C4805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Задачи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ab/>
      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Федерации;</w:t>
            </w:r>
          </w:p>
          <w:p w:rsidR="00786833" w:rsidRPr="008B6B60" w:rsidRDefault="00786833" w:rsidP="005C4805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 Сокращение муниципального долга.</w:t>
            </w:r>
          </w:p>
        </w:tc>
      </w:tr>
      <w:tr w:rsidR="00786833" w:rsidRPr="008B6B60" w:rsidTr="005C4805">
        <w:trPr>
          <w:trHeight w:val="1288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OLE_LINK1"/>
            <w:bookmarkStart w:id="1" w:name="OLE_LINK2"/>
            <w:r w:rsidRPr="008B6B60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Pr="008B6B60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выделено в бюджете/финансовая потребность) 123</w:t>
            </w:r>
            <w:r w:rsidRPr="00052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288,8/123 288,8 тыс. руб., в том числе:</w:t>
            </w:r>
          </w:p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</w:t>
            </w:r>
            <w:r w:rsidRPr="008B6B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2816"/>
              <w:gridCol w:w="3040"/>
            </w:tblGrid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4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80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34" w:type="pct"/>
                  <w:vAlign w:val="center"/>
                </w:tcPr>
                <w:p w:rsidR="00786833" w:rsidRPr="008B6B60" w:rsidRDefault="00786833" w:rsidP="005C4805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20 075,0</w:t>
                  </w:r>
                </w:p>
              </w:tc>
              <w:tc>
                <w:tcPr>
                  <w:tcW w:w="1980" w:type="pct"/>
                  <w:vAlign w:val="center"/>
                </w:tcPr>
                <w:p w:rsidR="00786833" w:rsidRPr="008B6B60" w:rsidRDefault="00786833" w:rsidP="005C4805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20 075,0</w:t>
                  </w:r>
                </w:p>
              </w:tc>
            </w:tr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34" w:type="pct"/>
                  <w:vAlign w:val="center"/>
                </w:tcPr>
                <w:p w:rsidR="00786833" w:rsidRPr="008B6B60" w:rsidRDefault="00786833" w:rsidP="005C4805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606,9</w:t>
                  </w:r>
                </w:p>
              </w:tc>
              <w:tc>
                <w:tcPr>
                  <w:tcW w:w="1980" w:type="pct"/>
                  <w:vAlign w:val="center"/>
                </w:tcPr>
                <w:p w:rsidR="00786833" w:rsidRPr="008B6B60" w:rsidRDefault="00786833" w:rsidP="005C4805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606,9</w:t>
                  </w:r>
                </w:p>
              </w:tc>
            </w:tr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34" w:type="pct"/>
                  <w:vAlign w:val="bottom"/>
                </w:tcPr>
                <w:p w:rsidR="00786833" w:rsidRPr="008B6B60" w:rsidRDefault="00786833" w:rsidP="005C4805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606,9</w:t>
                  </w:r>
                </w:p>
              </w:tc>
              <w:tc>
                <w:tcPr>
                  <w:tcW w:w="1980" w:type="pct"/>
                  <w:vAlign w:val="bottom"/>
                </w:tcPr>
                <w:p w:rsidR="00786833" w:rsidRPr="008B6B60" w:rsidRDefault="00786833" w:rsidP="005C4805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606,9</w:t>
                  </w:r>
                </w:p>
              </w:tc>
            </w:tr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34" w:type="pct"/>
                  <w:vAlign w:val="bottom"/>
                </w:tcPr>
                <w:p w:rsidR="00786833" w:rsidRPr="008B6B60" w:rsidRDefault="00786833" w:rsidP="005C4805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123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288,8</w:t>
                  </w:r>
                </w:p>
              </w:tc>
              <w:tc>
                <w:tcPr>
                  <w:tcW w:w="1980" w:type="pct"/>
                  <w:vAlign w:val="bottom"/>
                </w:tcPr>
                <w:p w:rsidR="00786833" w:rsidRPr="008B6B60" w:rsidRDefault="00786833" w:rsidP="005C4805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123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288,8</w:t>
                  </w:r>
                </w:p>
              </w:tc>
            </w:tr>
            <w:bookmarkEnd w:id="0"/>
            <w:bookmarkEnd w:id="1"/>
          </w:tbl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86833" w:rsidRPr="008B6B60" w:rsidTr="005C4805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Ожидаемые результаты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8B6B60">
              <w:rPr>
                <w:rFonts w:ascii="Times New Roman" w:hAnsi="Times New Roman"/>
                <w:sz w:val="28"/>
                <w:szCs w:val="28"/>
              </w:rPr>
              <w:t>Непревышение</w:t>
            </w:r>
            <w:proofErr w:type="spellEnd"/>
            <w:r w:rsidRPr="008B6B60">
              <w:rPr>
                <w:rFonts w:ascii="Times New Roman" w:hAnsi="Times New Roman"/>
                <w:sz w:val="28"/>
                <w:szCs w:val="28"/>
              </w:rPr>
              <w:t xml:space="preserve"> долговой нагрузки над собственными доходами, согласно Бюджетного кодекса Российской Федерации;</w:t>
            </w:r>
          </w:p>
          <w:p w:rsidR="00786833" w:rsidRPr="008B6B60" w:rsidRDefault="00786833" w:rsidP="005C4805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ab/>
              <w:t>Устойчивая сбалансированность бюджета городского округа город Рыбинск Ярославской области.</w:t>
            </w:r>
          </w:p>
        </w:tc>
      </w:tr>
    </w:tbl>
    <w:p w:rsidR="00786833" w:rsidRPr="000527CD" w:rsidRDefault="00786833" w:rsidP="007868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833" w:rsidRPr="008B6B60" w:rsidRDefault="00786833" w:rsidP="00786833">
      <w:pPr>
        <w:numPr>
          <w:ilvl w:val="1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t xml:space="preserve"> Цели, задачи и ожидаемые результаты реализации подпрограммы</w:t>
      </w:r>
    </w:p>
    <w:p w:rsidR="00786833" w:rsidRPr="008B6B60" w:rsidRDefault="00786833" w:rsidP="007868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aps/>
          <w:kern w:val="32"/>
          <w:sz w:val="28"/>
          <w:szCs w:val="28"/>
        </w:rPr>
      </w:pPr>
    </w:p>
    <w:p w:rsidR="00786833" w:rsidRPr="008B6B60" w:rsidRDefault="00786833" w:rsidP="0078683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Целью подпрограммы является</w:t>
      </w:r>
      <w:r w:rsidRPr="008B6B60">
        <w:rPr>
          <w:rFonts w:ascii="Times New Roman" w:hAnsi="Times New Roman"/>
          <w:sz w:val="28"/>
          <w:szCs w:val="28"/>
        </w:rPr>
        <w:t xml:space="preserve">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– бюджет городского округа).</w:t>
      </w:r>
    </w:p>
    <w:p w:rsidR="00786833" w:rsidRPr="008B6B60" w:rsidRDefault="00786833" w:rsidP="0078683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8B6B60">
        <w:rPr>
          <w:rFonts w:ascii="Times New Roman" w:hAnsi="Times New Roman"/>
          <w:bCs/>
          <w:sz w:val="28"/>
          <w:szCs w:val="28"/>
        </w:rPr>
        <w:t>Задачи подпрограммы:</w:t>
      </w:r>
    </w:p>
    <w:p w:rsidR="00786833" w:rsidRPr="008B6B60" w:rsidRDefault="00786833" w:rsidP="0078683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Федерации;</w:t>
      </w:r>
    </w:p>
    <w:p w:rsidR="00786833" w:rsidRPr="008B6B60" w:rsidRDefault="00786833" w:rsidP="0078683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сокращение муниципального долга.</w:t>
      </w:r>
    </w:p>
    <w:p w:rsidR="00786833" w:rsidRPr="008B6B60" w:rsidRDefault="00786833" w:rsidP="0078683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Ожидаемые результаты подпрограммы:</w:t>
      </w:r>
    </w:p>
    <w:p w:rsidR="00786833" w:rsidRPr="008B6B60" w:rsidRDefault="00786833" w:rsidP="0078683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6B60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8B6B60">
        <w:rPr>
          <w:rFonts w:ascii="Times New Roman" w:hAnsi="Times New Roman"/>
          <w:sz w:val="28"/>
          <w:szCs w:val="28"/>
        </w:rPr>
        <w:t xml:space="preserve"> долговой нагрузки над собственными доходами, согласно Бюджетного кодекса Российской Федерации;</w:t>
      </w:r>
    </w:p>
    <w:p w:rsidR="00786833" w:rsidRPr="008B6B60" w:rsidRDefault="00786833" w:rsidP="0078683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устойчивая сбалансированность бюджета городского округа город Рыбинск Ярославской области</w:t>
      </w:r>
    </w:p>
    <w:p w:rsidR="00786833" w:rsidRPr="008B6B60" w:rsidRDefault="00786833" w:rsidP="0078683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(раздел 1.5 настоящей муниципальной программы) по истечении отчетного периода.</w:t>
      </w:r>
    </w:p>
    <w:p w:rsidR="00786833" w:rsidRPr="008B6B60" w:rsidRDefault="00786833" w:rsidP="00786833">
      <w:pPr>
        <w:numPr>
          <w:ilvl w:val="1"/>
          <w:numId w:val="37"/>
        </w:num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bCs/>
          <w:caps/>
          <w:sz w:val="28"/>
          <w:szCs w:val="28"/>
        </w:rPr>
      </w:pPr>
      <w:r w:rsidRPr="008B6B60">
        <w:rPr>
          <w:rFonts w:ascii="Times New Roman" w:hAnsi="Times New Roman"/>
          <w:bCs/>
          <w:caps/>
          <w:sz w:val="28"/>
          <w:szCs w:val="28"/>
        </w:rPr>
        <w:br w:type="page"/>
      </w:r>
      <w:r w:rsidRPr="008B6B60">
        <w:rPr>
          <w:rFonts w:ascii="Times New Roman" w:hAnsi="Times New Roman"/>
          <w:bCs/>
          <w:caps/>
          <w:sz w:val="28"/>
          <w:szCs w:val="28"/>
        </w:rPr>
        <w:lastRenderedPageBreak/>
        <w:t>Социально-экономическое обоснование подпрограммы</w:t>
      </w:r>
    </w:p>
    <w:p w:rsidR="00786833" w:rsidRPr="008B6B60" w:rsidRDefault="00786833" w:rsidP="00786833">
      <w:pPr>
        <w:tabs>
          <w:tab w:val="left" w:pos="1276"/>
        </w:tabs>
        <w:spacing w:after="0" w:line="240" w:lineRule="auto"/>
        <w:ind w:right="-1"/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786833" w:rsidRPr="008B6B60" w:rsidRDefault="00786833" w:rsidP="0078683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 xml:space="preserve"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 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 xml:space="preserve">Объем муниципального долга на 01.01.2025 составляет 1073,8 </w:t>
      </w:r>
      <w:proofErr w:type="spellStart"/>
      <w:r w:rsidRPr="008B6B60">
        <w:rPr>
          <w:rFonts w:ascii="Times New Roman" w:hAnsi="Times New Roman"/>
          <w:color w:val="000000"/>
          <w:sz w:val="28"/>
          <w:szCs w:val="28"/>
        </w:rPr>
        <w:t>млн.руб</w:t>
      </w:r>
      <w:proofErr w:type="spellEnd"/>
      <w:r w:rsidRPr="008B6B60">
        <w:rPr>
          <w:rFonts w:ascii="Times New Roman" w:hAnsi="Times New Roman"/>
          <w:color w:val="000000"/>
          <w:sz w:val="28"/>
          <w:szCs w:val="28"/>
        </w:rPr>
        <w:t>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 декабре 2023 года заключены договоры о предоставлении отсрочки по возврату бюджетных кредитов, что позволит экономить средства на обслуживание и погашение муниципального долга. За ключевой показатель расчета начального условия приняли не превышение долговой нагрузки над собственными доходами, регулятор – процент дефицита бюджета городского округа, покрываемого за счет привлечения кредитных средств.</w:t>
      </w:r>
    </w:p>
    <w:p w:rsidR="00786833" w:rsidRPr="008B6B60" w:rsidRDefault="00786833" w:rsidP="0078683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  <w:sectPr w:rsidR="00786833" w:rsidRPr="008B6B60" w:rsidSect="00CF1840">
          <w:headerReference w:type="default" r:id="rId25"/>
          <w:footerReference w:type="default" r:id="rId26"/>
          <w:headerReference w:type="first" r:id="rId27"/>
          <w:pgSz w:w="11906" w:h="16838"/>
          <w:pgMar w:top="1134" w:right="567" w:bottom="1134" w:left="1134" w:header="425" w:footer="0" w:gutter="0"/>
          <w:pgNumType w:start="1"/>
          <w:cols w:space="708"/>
          <w:titlePg/>
          <w:docGrid w:linePitch="381"/>
        </w:sectPr>
      </w:pPr>
    </w:p>
    <w:p w:rsidR="00786833" w:rsidRPr="008B6B60" w:rsidRDefault="00786833" w:rsidP="0078683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8B6B60">
        <w:rPr>
          <w:rFonts w:ascii="Times New Roman" w:hAnsi="Times New Roman"/>
          <w:bCs/>
          <w:caps/>
          <w:sz w:val="28"/>
          <w:szCs w:val="28"/>
        </w:rPr>
        <w:lastRenderedPageBreak/>
        <w:t>1.3. Финансирование подпрограммы</w:t>
      </w:r>
    </w:p>
    <w:p w:rsidR="00786833" w:rsidRPr="008B6B60" w:rsidRDefault="00786833" w:rsidP="00786833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1"/>
        <w:gridCol w:w="1412"/>
        <w:gridCol w:w="1752"/>
        <w:gridCol w:w="1412"/>
        <w:gridCol w:w="1752"/>
        <w:gridCol w:w="1412"/>
        <w:gridCol w:w="1752"/>
        <w:gridCol w:w="1412"/>
        <w:gridCol w:w="1752"/>
      </w:tblGrid>
      <w:tr w:rsidR="00786833" w:rsidRPr="008B6B60" w:rsidTr="005C4805"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0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786833" w:rsidRPr="008B6B60" w:rsidTr="005C4805"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786833" w:rsidRPr="008B6B60" w:rsidTr="005C4805">
        <w:trPr>
          <w:trHeight w:val="232"/>
        </w:trPr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0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786833" w:rsidRPr="008B6B60" w:rsidTr="005C4805">
        <w:trPr>
          <w:trHeight w:val="232"/>
        </w:trPr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786833" w:rsidRPr="008B6B60" w:rsidTr="005C4805"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86833" w:rsidRPr="008B6B60" w:rsidTr="005C4805"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288,8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288,8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20 075,0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075,0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</w:tr>
      <w:tr w:rsidR="00786833" w:rsidRPr="008B6B60" w:rsidTr="005C4805"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288,8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288,8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20 075,0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075,0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606,9</w:t>
            </w:r>
          </w:p>
        </w:tc>
      </w:tr>
    </w:tbl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833" w:rsidRPr="008B6B60" w:rsidRDefault="00786833" w:rsidP="00786833">
      <w:pPr>
        <w:tabs>
          <w:tab w:val="left" w:pos="8640"/>
        </w:tabs>
        <w:ind w:left="142"/>
        <w:rPr>
          <w:rFonts w:ascii="Times New Roman" w:hAnsi="Times New Roman"/>
          <w:sz w:val="28"/>
          <w:szCs w:val="28"/>
        </w:rPr>
        <w:sectPr w:rsidR="00786833" w:rsidRPr="008B6B60" w:rsidSect="000527CD">
          <w:pgSz w:w="16838" w:h="11906" w:orient="landscape"/>
          <w:pgMar w:top="1134" w:right="567" w:bottom="1134" w:left="1134" w:header="743" w:footer="0" w:gutter="0"/>
          <w:cols w:space="708"/>
          <w:docGrid w:linePitch="381"/>
        </w:sectPr>
      </w:pPr>
      <w:r w:rsidRPr="008B6B60">
        <w:rPr>
          <w:rFonts w:ascii="Times New Roman" w:hAnsi="Times New Roman"/>
          <w:sz w:val="28"/>
          <w:szCs w:val="28"/>
        </w:rPr>
        <w:tab/>
      </w:r>
    </w:p>
    <w:p w:rsidR="00786833" w:rsidRPr="008B6B60" w:rsidRDefault="00786833" w:rsidP="00786833">
      <w:pPr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lastRenderedPageBreak/>
        <w:t xml:space="preserve"> Механизм реализации подпрограммы</w:t>
      </w: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Подпрограмма основана на следующих принципах: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концентрация финансовых ресурсов на решении ключевых задач;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обоснованность объемов финансирования каждой задачи;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выбор решений, обеспечивающих выполнение целей и снижение совокупных затрат на обслуживание муниципального долга.</w:t>
      </w:r>
    </w:p>
    <w:p w:rsidR="00786833" w:rsidRPr="008B6B60" w:rsidRDefault="00786833" w:rsidP="007868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786833" w:rsidRPr="008B6B60" w:rsidRDefault="00786833" w:rsidP="007868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общее руководство и контроль за реализацией мероприятия осуществляется Департаментом финансов Администрации городского округа город Рыбинск Ярославской области (далее – Департамент финансов);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текущий контроль за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– Департамент финансов;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b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механизм финансирования программных мероприятий – за счет средств, заложенных в бюджете городского округа на 2025-2027 годы;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sz w:val="28"/>
          <w:szCs w:val="28"/>
        </w:rPr>
        <w:t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Единой информационной системе.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imes New Roman" w:hAnsi="Times New Roman" w:cs="Courier New"/>
          <w:sz w:val="28"/>
          <w:szCs w:val="28"/>
        </w:rPr>
      </w:pPr>
      <w:r w:rsidRPr="008B6B60">
        <w:rPr>
          <w:rFonts w:ascii="Times New Roman" w:hAnsi="Times New Roman" w:cs="Courier New"/>
          <w:caps/>
          <w:sz w:val="28"/>
          <w:szCs w:val="28"/>
        </w:rPr>
        <w:lastRenderedPageBreak/>
        <w:t>Идикаторы результативности подпрограммЫ</w:t>
      </w: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tbl>
      <w:tblPr>
        <w:tblpPr w:leftFromText="180" w:rightFromText="180" w:vertAnchor="text" w:horzAnchor="margin" w:tblpY="-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2219"/>
        <w:gridCol w:w="1363"/>
        <w:gridCol w:w="1461"/>
        <w:gridCol w:w="950"/>
        <w:gridCol w:w="991"/>
        <w:gridCol w:w="992"/>
      </w:tblGrid>
      <w:tr w:rsidR="00786833" w:rsidRPr="008B6B60" w:rsidTr="005C4805">
        <w:trPr>
          <w:trHeight w:val="506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786833" w:rsidRPr="008B6B60" w:rsidTr="005C4805">
        <w:tc>
          <w:tcPr>
            <w:tcW w:w="96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01" w:type="pct"/>
            <w:vMerge w:val="restart"/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Базовое значение (результат 2024 года)</w:t>
            </w:r>
          </w:p>
        </w:tc>
        <w:tc>
          <w:tcPr>
            <w:tcW w:w="1673" w:type="pct"/>
            <w:gridSpan w:val="3"/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786833" w:rsidRPr="008B6B60" w:rsidTr="005C4805">
        <w:trPr>
          <w:trHeight w:val="701"/>
        </w:trPr>
        <w:tc>
          <w:tcPr>
            <w:tcW w:w="960" w:type="pct"/>
            <w:vMerge/>
            <w:tcBorders>
              <w:righ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pct"/>
            <w:vMerge/>
            <w:tcBorders>
              <w:righ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1" w:type="pct"/>
            <w:vMerge/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pct"/>
            <w:vAlign w:val="bottom"/>
          </w:tcPr>
          <w:p w:rsidR="00786833" w:rsidRPr="008B6B60" w:rsidRDefault="00786833" w:rsidP="005C4805">
            <w:pPr>
              <w:autoSpaceDE w:val="0"/>
              <w:autoSpaceDN w:val="0"/>
              <w:spacing w:after="0" w:line="240" w:lineRule="auto"/>
              <w:ind w:left="-1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564" w:type="pct"/>
            <w:vAlign w:val="bottom"/>
          </w:tcPr>
          <w:p w:rsidR="00786833" w:rsidRPr="008B6B60" w:rsidRDefault="00786833" w:rsidP="005C4805">
            <w:pPr>
              <w:autoSpaceDE w:val="0"/>
              <w:autoSpaceDN w:val="0"/>
              <w:spacing w:after="0" w:line="240" w:lineRule="auto"/>
              <w:ind w:left="-1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564" w:type="pct"/>
            <w:vAlign w:val="bottom"/>
          </w:tcPr>
          <w:p w:rsidR="00786833" w:rsidRPr="008B6B60" w:rsidRDefault="00786833" w:rsidP="005C4805">
            <w:pPr>
              <w:autoSpaceDE w:val="0"/>
              <w:autoSpaceDN w:val="0"/>
              <w:spacing w:after="0" w:line="240" w:lineRule="auto"/>
              <w:ind w:left="-1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786833" w:rsidRPr="008B6B60" w:rsidTr="005C4805">
        <w:trPr>
          <w:trHeight w:val="281"/>
        </w:trPr>
        <w:tc>
          <w:tcPr>
            <w:tcW w:w="960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5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2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1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4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4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4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86833" w:rsidRPr="008B6B60" w:rsidTr="005C4805">
        <w:trPr>
          <w:trHeight w:val="5197"/>
        </w:trPr>
        <w:tc>
          <w:tcPr>
            <w:tcW w:w="960" w:type="pct"/>
          </w:tcPr>
          <w:p w:rsidR="00786833" w:rsidRPr="008B6B60" w:rsidRDefault="00786833" w:rsidP="005C48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1. 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</w:t>
            </w:r>
          </w:p>
        </w:tc>
        <w:tc>
          <w:tcPr>
            <w:tcW w:w="1065" w:type="pct"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Соотношение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</w:t>
            </w:r>
          </w:p>
        </w:tc>
        <w:tc>
          <w:tcPr>
            <w:tcW w:w="602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701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38,7</w:t>
            </w:r>
          </w:p>
        </w:tc>
        <w:tc>
          <w:tcPr>
            <w:tcW w:w="544" w:type="pct"/>
          </w:tcPr>
          <w:p w:rsidR="00786833" w:rsidRPr="008B6B60" w:rsidRDefault="00786833" w:rsidP="005C4805">
            <w:pPr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38,5</w:t>
            </w:r>
          </w:p>
        </w:tc>
        <w:tc>
          <w:tcPr>
            <w:tcW w:w="564" w:type="pct"/>
          </w:tcPr>
          <w:p w:rsidR="00786833" w:rsidRPr="008B6B60" w:rsidRDefault="00786833" w:rsidP="005C4805">
            <w:pPr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38,0</w:t>
            </w:r>
          </w:p>
        </w:tc>
        <w:tc>
          <w:tcPr>
            <w:tcW w:w="564" w:type="pct"/>
          </w:tcPr>
          <w:p w:rsidR="00786833" w:rsidRPr="008B6B60" w:rsidRDefault="00786833" w:rsidP="005C4805">
            <w:pPr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</w:tr>
      <w:tr w:rsidR="00786833" w:rsidRPr="008B6B60" w:rsidTr="005C4805">
        <w:trPr>
          <w:trHeight w:val="281"/>
        </w:trPr>
        <w:tc>
          <w:tcPr>
            <w:tcW w:w="960" w:type="pct"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2. Сокращение муниципального долга</w:t>
            </w:r>
          </w:p>
        </w:tc>
        <w:tc>
          <w:tcPr>
            <w:tcW w:w="1065" w:type="pct"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Своевременное погашение взятых кредитов и процентов по ним</w:t>
            </w:r>
          </w:p>
        </w:tc>
        <w:tc>
          <w:tcPr>
            <w:tcW w:w="602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701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44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64" w:type="pct"/>
          </w:tcPr>
          <w:p w:rsidR="00786833" w:rsidRPr="008B6B60" w:rsidRDefault="00786833" w:rsidP="005C4805">
            <w:pPr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64" w:type="pct"/>
          </w:tcPr>
          <w:p w:rsidR="00786833" w:rsidRPr="008B6B60" w:rsidRDefault="00786833" w:rsidP="005C4805">
            <w:pPr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786833" w:rsidRPr="008B6B60" w:rsidRDefault="00786833" w:rsidP="007868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  <w:sectPr w:rsidR="00786833" w:rsidRPr="008B6B60" w:rsidSect="005D4931">
          <w:pgSz w:w="11906" w:h="16838"/>
          <w:pgMar w:top="1134" w:right="567" w:bottom="1134" w:left="1134" w:header="680" w:footer="0" w:gutter="0"/>
          <w:cols w:space="708"/>
          <w:docGrid w:linePitch="381"/>
        </w:sectPr>
      </w:pPr>
    </w:p>
    <w:p w:rsidR="00786833" w:rsidRPr="008B6B60" w:rsidRDefault="00786833" w:rsidP="00786833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 w:cs="Courier New"/>
          <w:caps/>
          <w:sz w:val="28"/>
          <w:szCs w:val="28"/>
        </w:rPr>
        <w:lastRenderedPageBreak/>
        <w:t xml:space="preserve"> перечень мероприятий подпрограммы</w:t>
      </w: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96"/>
        <w:gridCol w:w="1115"/>
        <w:gridCol w:w="1162"/>
        <w:gridCol w:w="1222"/>
        <w:gridCol w:w="1298"/>
        <w:gridCol w:w="1010"/>
        <w:gridCol w:w="1295"/>
        <w:gridCol w:w="1010"/>
        <w:gridCol w:w="1295"/>
        <w:gridCol w:w="2283"/>
        <w:gridCol w:w="1381"/>
      </w:tblGrid>
      <w:tr w:rsidR="00786833" w:rsidRPr="008B6B60" w:rsidTr="005C4805">
        <w:trPr>
          <w:trHeight w:val="255"/>
        </w:trPr>
        <w:tc>
          <w:tcPr>
            <w:tcW w:w="179" w:type="pct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Еди-ница</w:t>
            </w:r>
            <w:proofErr w:type="spellEnd"/>
            <w:proofErr w:type="gramEnd"/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 xml:space="preserve"> измерения</w:t>
            </w:r>
          </w:p>
        </w:tc>
        <w:tc>
          <w:tcPr>
            <w:tcW w:w="367" w:type="pct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Источ</w:t>
            </w:r>
            <w:proofErr w:type="spellEnd"/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-ник</w:t>
            </w:r>
            <w:proofErr w:type="gramEnd"/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2251" w:type="pct"/>
            <w:gridSpan w:val="6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 </w:t>
            </w:r>
            <w:proofErr w:type="spellStart"/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proofErr w:type="spellEnd"/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 xml:space="preserve"> исполнитель</w:t>
            </w:r>
          </w:p>
        </w:tc>
      </w:tr>
      <w:tr w:rsidR="00786833" w:rsidRPr="008B6B60" w:rsidTr="005C4805">
        <w:trPr>
          <w:trHeight w:val="20"/>
        </w:trPr>
        <w:tc>
          <w:tcPr>
            <w:tcW w:w="179" w:type="pct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" w:type="pct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6" w:type="pct"/>
            <w:gridSpan w:val="2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28" w:type="pct"/>
            <w:gridSpan w:val="2"/>
          </w:tcPr>
          <w:p w:rsidR="00786833" w:rsidRPr="008B6B60" w:rsidRDefault="00786833" w:rsidP="005C480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28" w:type="pct"/>
            <w:gridSpan w:val="2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21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833" w:rsidRPr="008B6B60" w:rsidTr="005C4805">
        <w:trPr>
          <w:trHeight w:val="20"/>
        </w:trPr>
        <w:tc>
          <w:tcPr>
            <w:tcW w:w="179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721" w:type="pct"/>
            <w:vMerge/>
            <w:shd w:val="clear" w:color="auto" w:fill="auto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833" w:rsidRPr="008B6B60" w:rsidTr="005C4805">
        <w:trPr>
          <w:trHeight w:val="20"/>
        </w:trPr>
        <w:tc>
          <w:tcPr>
            <w:tcW w:w="179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firstLineChars="12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2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" w:type="pct"/>
            <w:shd w:val="clear" w:color="auto" w:fill="auto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37" w:type="pct"/>
            <w:shd w:val="clear" w:color="auto" w:fill="auto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86833" w:rsidRPr="008B6B60" w:rsidTr="005C4805">
        <w:trPr>
          <w:trHeight w:val="317"/>
        </w:trPr>
        <w:tc>
          <w:tcPr>
            <w:tcW w:w="179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1.</w:t>
            </w:r>
            <w:r w:rsidRPr="00AA01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6B60">
              <w:rPr>
                <w:rFonts w:ascii="Times New Roman" w:hAnsi="Times New Roman"/>
                <w:sz w:val="24"/>
                <w:szCs w:val="24"/>
              </w:rPr>
              <w:t>нижение</w:t>
            </w:r>
            <w:proofErr w:type="spellEnd"/>
            <w:r w:rsidRPr="008B6B60">
              <w:rPr>
                <w:rFonts w:ascii="Times New Roman" w:hAnsi="Times New Roman"/>
                <w:sz w:val="24"/>
                <w:szCs w:val="24"/>
              </w:rPr>
              <w:t xml:space="preserve"> соотношения объема муниципального долга к общему годовому объему дохода без учета объ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ема безвозмездных перечислений </w:t>
            </w:r>
            <w:r w:rsidRPr="008B6B60">
              <w:rPr>
                <w:rFonts w:ascii="Times New Roman" w:hAnsi="Times New Roman"/>
                <w:sz w:val="24"/>
                <w:szCs w:val="24"/>
              </w:rPr>
              <w:t>согласно Бюджетному кодексу Российской Федерации</w:t>
            </w:r>
          </w:p>
        </w:tc>
        <w:tc>
          <w:tcPr>
            <w:tcW w:w="352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6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6833" w:rsidRPr="008B6B60" w:rsidTr="005C4805">
        <w:trPr>
          <w:trHeight w:val="3093"/>
        </w:trPr>
        <w:tc>
          <w:tcPr>
            <w:tcW w:w="179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6833" w:rsidRPr="008B6B60" w:rsidTr="005C4805">
        <w:trPr>
          <w:trHeight w:val="281"/>
        </w:trPr>
        <w:tc>
          <w:tcPr>
            <w:tcW w:w="179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3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Мероприятие 1:</w:t>
            </w:r>
            <w:r w:rsidRPr="00AA01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 xml:space="preserve">Расчет параметров бюджета городского округа на основе концепции управления муниципальным долгом </w:t>
            </w:r>
          </w:p>
        </w:tc>
        <w:tc>
          <w:tcPr>
            <w:tcW w:w="352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6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jc w:val="center"/>
            </w:pPr>
            <w:r w:rsidRPr="008B6B6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21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B60">
              <w:rPr>
                <w:rFonts w:ascii="Times New Roman" w:hAnsi="Times New Roman"/>
                <w:color w:val="000000"/>
                <w:sz w:val="24"/>
                <w:szCs w:val="24"/>
              </w:rPr>
              <w:t>Снижение долговой нагрузки бюджета городского округа</w:t>
            </w:r>
          </w:p>
        </w:tc>
        <w:tc>
          <w:tcPr>
            <w:tcW w:w="43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786833" w:rsidRPr="008B6B60" w:rsidTr="005C4805">
        <w:trPr>
          <w:trHeight w:val="547"/>
        </w:trPr>
        <w:tc>
          <w:tcPr>
            <w:tcW w:w="179" w:type="pct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2.</w:t>
            </w:r>
          </w:p>
          <w:p w:rsidR="00786833" w:rsidRPr="008B6B60" w:rsidRDefault="00786833" w:rsidP="005C4805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Сокращение муниципального долга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67" w:type="pc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20 075,0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20075,0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71" w:right="-13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721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Merge w:val="restar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6833" w:rsidRPr="008B6B60" w:rsidTr="005C4805">
        <w:trPr>
          <w:trHeight w:val="547"/>
        </w:trPr>
        <w:tc>
          <w:tcPr>
            <w:tcW w:w="179" w:type="pct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20 075,0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20075,0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721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6833" w:rsidRPr="008B6B60" w:rsidTr="005C4805">
        <w:trPr>
          <w:trHeight w:val="20"/>
        </w:trPr>
        <w:tc>
          <w:tcPr>
            <w:tcW w:w="179" w:type="pct"/>
            <w:shd w:val="clear" w:color="auto" w:fill="auto"/>
            <w:hideMark/>
          </w:tcPr>
          <w:p w:rsidR="00786833" w:rsidRPr="008B6B60" w:rsidRDefault="00786833" w:rsidP="005C48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93" w:type="pct"/>
            <w:shd w:val="clear" w:color="auto" w:fill="auto"/>
            <w:hideMark/>
          </w:tcPr>
          <w:p w:rsidR="00786833" w:rsidRPr="008B6B60" w:rsidRDefault="00786833" w:rsidP="005C48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 xml:space="preserve">Мероприятие 1: </w:t>
            </w: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8B6B60">
              <w:rPr>
                <w:rFonts w:ascii="Times New Roman" w:hAnsi="Times New Roman"/>
                <w:sz w:val="24"/>
                <w:szCs w:val="24"/>
              </w:rPr>
              <w:t>ранее взятых бюджетных кредитов</w:t>
            </w:r>
          </w:p>
        </w:tc>
        <w:tc>
          <w:tcPr>
            <w:tcW w:w="352" w:type="pc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6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6B60">
              <w:rPr>
                <w:rFonts w:ascii="Times New Roman" w:hAnsi="Times New Roman"/>
              </w:rPr>
              <w:t>20 075,0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6B60">
              <w:rPr>
                <w:rFonts w:ascii="Times New Roman" w:hAnsi="Times New Roman"/>
              </w:rPr>
              <w:t>20075,0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</w:rPr>
            </w:pPr>
            <w:r w:rsidRPr="008B6B60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6B60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</w:rPr>
              <w:t>606,9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</w:rPr>
            </w:pPr>
            <w:r w:rsidRPr="008B6B60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6B60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</w:rPr>
              <w:t>606,9</w:t>
            </w:r>
          </w:p>
        </w:tc>
        <w:tc>
          <w:tcPr>
            <w:tcW w:w="721" w:type="pct"/>
            <w:shd w:val="clear" w:color="auto" w:fill="auto"/>
          </w:tcPr>
          <w:p w:rsidR="00786833" w:rsidRPr="008B6B60" w:rsidRDefault="00786833" w:rsidP="005C4805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8B6B60">
              <w:rPr>
                <w:rFonts w:ascii="Times New Roman" w:hAnsi="Times New Roman"/>
                <w:sz w:val="24"/>
                <w:szCs w:val="24"/>
              </w:rPr>
              <w:t>ранее взятых бюджетных кредитов. Удержание сбалансированности бюджета городского округа</w:t>
            </w:r>
          </w:p>
        </w:tc>
        <w:tc>
          <w:tcPr>
            <w:tcW w:w="437" w:type="pct"/>
            <w:shd w:val="clear" w:color="auto" w:fill="auto"/>
          </w:tcPr>
          <w:p w:rsidR="00786833" w:rsidRPr="008B6B60" w:rsidRDefault="00786833" w:rsidP="005C4805">
            <w:pPr>
              <w:tabs>
                <w:tab w:val="left" w:pos="361"/>
              </w:tabs>
              <w:spacing w:after="0" w:line="240" w:lineRule="auto"/>
              <w:ind w:left="-121" w:right="-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786833" w:rsidRPr="008B6B60" w:rsidTr="005C4805">
        <w:trPr>
          <w:trHeight w:val="276"/>
        </w:trPr>
        <w:tc>
          <w:tcPr>
            <w:tcW w:w="872" w:type="pct"/>
            <w:gridSpan w:val="2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352" w:type="pct"/>
            <w:vMerge w:val="restar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67" w:type="pc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20 075,0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20075,0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721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6833" w:rsidRPr="008B6B60" w:rsidTr="005C4805">
        <w:trPr>
          <w:trHeight w:val="276"/>
        </w:trPr>
        <w:tc>
          <w:tcPr>
            <w:tcW w:w="872" w:type="pct"/>
            <w:gridSpan w:val="2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" w:type="pct"/>
            <w:vMerge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" w:type="pct"/>
            <w:shd w:val="clear" w:color="auto" w:fill="auto"/>
            <w:hideMark/>
          </w:tcPr>
          <w:p w:rsidR="00786833" w:rsidRPr="008B6B60" w:rsidRDefault="00786833" w:rsidP="005C4805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6B60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86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20 075,0</w:t>
            </w:r>
          </w:p>
        </w:tc>
        <w:tc>
          <w:tcPr>
            <w:tcW w:w="410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20075,0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319" w:type="pct"/>
          </w:tcPr>
          <w:p w:rsidR="00786833" w:rsidRPr="008B6B60" w:rsidRDefault="00786833" w:rsidP="005C4805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409" w:type="pct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6B60">
              <w:rPr>
                <w:rFonts w:ascii="Times New Roman" w:hAnsi="Times New Roman"/>
                <w:b/>
              </w:rPr>
              <w:t>51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b/>
              </w:rPr>
              <w:t>606,9</w:t>
            </w:r>
          </w:p>
        </w:tc>
        <w:tc>
          <w:tcPr>
            <w:tcW w:w="721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6833" w:rsidRPr="008B6B60" w:rsidRDefault="00786833" w:rsidP="00786833">
      <w:pPr>
        <w:widowControl w:val="0"/>
        <w:autoSpaceDE w:val="0"/>
        <w:autoSpaceDN w:val="0"/>
        <w:adjustRightInd w:val="0"/>
        <w:spacing w:after="0" w:line="240" w:lineRule="auto"/>
        <w:ind w:right="-65"/>
        <w:rPr>
          <w:rFonts w:ascii="Times New Roman" w:hAnsi="Times New Roman"/>
          <w:caps/>
          <w:sz w:val="28"/>
          <w:szCs w:val="28"/>
        </w:rPr>
        <w:sectPr w:rsidR="00786833" w:rsidRPr="008B6B60" w:rsidSect="00605336">
          <w:pgSz w:w="16838" w:h="11906" w:orient="landscape"/>
          <w:pgMar w:top="1134" w:right="567" w:bottom="1134" w:left="1134" w:header="680" w:footer="0" w:gutter="0"/>
          <w:cols w:space="708"/>
          <w:docGrid w:linePitch="381"/>
        </w:sectPr>
      </w:pPr>
    </w:p>
    <w:p w:rsidR="00786833" w:rsidRPr="008B6B60" w:rsidRDefault="00786833" w:rsidP="0078683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lastRenderedPageBreak/>
        <w:t>Паспорт подпрограммы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</w:t>
      </w: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55"/>
        <w:gridCol w:w="7940"/>
      </w:tblGrid>
      <w:tr w:rsidR="00786833" w:rsidRPr="008B6B60" w:rsidTr="005C4805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</w:t>
            </w:r>
          </w:p>
        </w:tc>
      </w:tr>
      <w:tr w:rsidR="00786833" w:rsidRPr="008B6B60" w:rsidTr="005C4805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2025 – 2027 годы</w:t>
            </w:r>
          </w:p>
        </w:tc>
      </w:tr>
      <w:tr w:rsidR="00786833" w:rsidRPr="008B6B60" w:rsidTr="005C4805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29.02.2024;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8B6B60">
              <w:rPr>
                <w:rFonts w:ascii="Times New Roman" w:eastAsia="Calibri" w:hAnsi="Times New Roman"/>
                <w:sz w:val="28"/>
                <w:szCs w:val="28"/>
              </w:rPr>
              <w:t>19.12.2019 № 98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12.12.2024 № 126 «О бюджете городского округа город Рыбинск Ярославской области на 2025 год и на плановый период 2026 и 2027 годов»;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786833" w:rsidRPr="008B6B60" w:rsidRDefault="00786833" w:rsidP="005C4805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786833" w:rsidRPr="008B6B60" w:rsidTr="005C4805">
        <w:trPr>
          <w:trHeight w:val="377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Заказчик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786833" w:rsidRPr="008B6B60" w:rsidTr="005C4805">
        <w:trPr>
          <w:trHeight w:val="377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Разработчик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 Ярославской области</w:t>
            </w:r>
          </w:p>
        </w:tc>
      </w:tr>
      <w:tr w:rsidR="00786833" w:rsidRPr="008B6B60" w:rsidTr="005C4805">
        <w:trPr>
          <w:trHeight w:val="4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Руководитель подпрограммы - ответственный исполнитель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Директор Департамента финансов Администрации городского округа город Рыбинск Ярославской области</w:t>
            </w:r>
          </w:p>
        </w:tc>
      </w:tr>
      <w:tr w:rsidR="00786833" w:rsidRPr="008B6B60" w:rsidTr="005C4805">
        <w:trPr>
          <w:trHeight w:val="4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</w:tc>
      </w:tr>
      <w:tr w:rsidR="00786833" w:rsidRPr="008B6B60" w:rsidTr="005C4805">
        <w:trPr>
          <w:trHeight w:val="4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функционирование финансовой муниципальной информационной системы (далее – МИС).</w:t>
            </w:r>
          </w:p>
        </w:tc>
      </w:tr>
      <w:tr w:rsidR="00786833" w:rsidRPr="008B6B60" w:rsidTr="005C4805">
        <w:trPr>
          <w:trHeight w:val="4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786833">
            <w:pPr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786833" w:rsidRPr="008B6B60" w:rsidRDefault="00786833" w:rsidP="00786833">
            <w:pPr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муниципальных информационных систем.</w:t>
            </w:r>
          </w:p>
        </w:tc>
      </w:tr>
      <w:tr w:rsidR="00786833" w:rsidRPr="008B6B60" w:rsidTr="005C4805">
        <w:trPr>
          <w:trHeight w:val="2577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бюджете/финансовая потребность) 19 140,0/20 790,6</w:t>
            </w:r>
            <w:r w:rsidRPr="00F53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30"/>
              <w:gridCol w:w="2829"/>
              <w:gridCol w:w="3055"/>
            </w:tblGrid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4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80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34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380,0</w:t>
                  </w:r>
                </w:p>
              </w:tc>
              <w:tc>
                <w:tcPr>
                  <w:tcW w:w="1980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930,2</w:t>
                  </w:r>
                </w:p>
              </w:tc>
            </w:tr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34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6 380,0</w:t>
                  </w:r>
                </w:p>
              </w:tc>
              <w:tc>
                <w:tcPr>
                  <w:tcW w:w="1980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930,2</w:t>
                  </w:r>
                </w:p>
              </w:tc>
            </w:tr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34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6 380,0</w:t>
                  </w:r>
                </w:p>
              </w:tc>
              <w:tc>
                <w:tcPr>
                  <w:tcW w:w="1980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930,2</w:t>
                  </w:r>
                </w:p>
              </w:tc>
            </w:tr>
            <w:tr w:rsidR="00786833" w:rsidRPr="008B6B60" w:rsidTr="005C4805">
              <w:tc>
                <w:tcPr>
                  <w:tcW w:w="1186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34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19 140,0</w:t>
                  </w:r>
                </w:p>
              </w:tc>
              <w:tc>
                <w:tcPr>
                  <w:tcW w:w="1980" w:type="pct"/>
                </w:tcPr>
                <w:p w:rsidR="00786833" w:rsidRPr="008B6B60" w:rsidRDefault="00786833" w:rsidP="005C48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8B6B60">
                    <w:rPr>
                      <w:rFonts w:ascii="Times New Roman" w:hAnsi="Times New Roman"/>
                      <w:sz w:val="28"/>
                      <w:szCs w:val="28"/>
                    </w:rPr>
                    <w:t>790,6</w:t>
                  </w:r>
                </w:p>
              </w:tc>
            </w:tr>
          </w:tbl>
          <w:p w:rsidR="00786833" w:rsidRPr="008B6B60" w:rsidRDefault="00786833" w:rsidP="005C4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833" w:rsidRPr="008B6B60" w:rsidTr="005C4805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B60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33" w:rsidRPr="008B6B60" w:rsidRDefault="00786833" w:rsidP="00786833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786833" w:rsidRPr="008B6B60" w:rsidRDefault="00786833" w:rsidP="00786833">
            <w:pPr>
              <w:numPr>
                <w:ilvl w:val="0"/>
                <w:numId w:val="31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833" w:rsidRPr="008B6B60" w:rsidRDefault="00786833" w:rsidP="00786833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 xml:space="preserve">. </w:t>
      </w:r>
      <w:r w:rsidRPr="008B6B60">
        <w:rPr>
          <w:rFonts w:ascii="Times New Roman" w:hAnsi="Times New Roman"/>
          <w:caps/>
          <w:sz w:val="28"/>
          <w:szCs w:val="28"/>
        </w:rPr>
        <w:t>Цели, задачи и ожидаемые результаты реализации подпрограммы</w:t>
      </w:r>
    </w:p>
    <w:p w:rsidR="00786833" w:rsidRPr="008B6B60" w:rsidRDefault="00786833" w:rsidP="00786833">
      <w:pPr>
        <w:tabs>
          <w:tab w:val="left" w:pos="709"/>
        </w:tabs>
        <w:spacing w:after="0" w:line="240" w:lineRule="auto"/>
        <w:ind w:right="-28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6833" w:rsidRPr="008B6B60" w:rsidRDefault="00786833" w:rsidP="00786833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Целью подпрограммы является бесперебойное функционирование муниципальной информационной системы (далее – МИС) Департамента финансов Администрации городского округа город Рыбинск Ярославской области (далее – Департамент финансов)</w:t>
      </w:r>
      <w:r w:rsidRPr="008B6B60">
        <w:rPr>
          <w:rFonts w:ascii="Times New Roman" w:hAnsi="Times New Roman"/>
          <w:sz w:val="28"/>
          <w:szCs w:val="28"/>
        </w:rPr>
        <w:t>.</w:t>
      </w:r>
    </w:p>
    <w:p w:rsidR="00786833" w:rsidRPr="008B6B60" w:rsidRDefault="00786833" w:rsidP="00786833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Достижение цели подпрограммы обеспечивается в результате решения следующих основных задач:</w:t>
      </w:r>
    </w:p>
    <w:p w:rsidR="00786833" w:rsidRPr="008B6B60" w:rsidRDefault="00786833" w:rsidP="00786833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бесперебойное функционирование центра обработки данных и рабочих мест пользователей МИС</w:t>
      </w:r>
    </w:p>
    <w:p w:rsidR="00786833" w:rsidRPr="008B6B60" w:rsidRDefault="00786833" w:rsidP="00786833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п</w:t>
      </w:r>
      <w:r w:rsidRPr="008B6B60">
        <w:rPr>
          <w:rFonts w:ascii="Times New Roman" w:hAnsi="Times New Roman"/>
          <w:sz w:val="28"/>
          <w:szCs w:val="28"/>
        </w:rPr>
        <w:t>оддержание оптимального соотношения комплекса программного обеспечения, технического обеспечения и кадрового сопровождения муниципальных информационных систем.</w:t>
      </w:r>
    </w:p>
    <w:p w:rsidR="00786833" w:rsidRPr="008B6B60" w:rsidRDefault="00786833" w:rsidP="00786833">
      <w:pPr>
        <w:tabs>
          <w:tab w:val="left" w:pos="2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bCs/>
          <w:sz w:val="28"/>
          <w:szCs w:val="28"/>
        </w:rPr>
        <w:t>Ожидаемые результаты реализации подпрограммы:</w:t>
      </w:r>
    </w:p>
    <w:p w:rsidR="00786833" w:rsidRPr="008B6B60" w:rsidRDefault="00786833" w:rsidP="00786833">
      <w:pPr>
        <w:tabs>
          <w:tab w:val="left" w:pos="286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bCs/>
          <w:sz w:val="28"/>
          <w:szCs w:val="28"/>
        </w:rPr>
        <w:t>б</w:t>
      </w:r>
      <w:r w:rsidRPr="008B6B60">
        <w:rPr>
          <w:rFonts w:ascii="Times New Roman" w:hAnsi="Times New Roman"/>
          <w:sz w:val="28"/>
          <w:szCs w:val="28"/>
        </w:rPr>
        <w:t>есперебойное функционирование центра обработки данных и рабочих мест пользователей МИС;</w:t>
      </w:r>
    </w:p>
    <w:p w:rsidR="00786833" w:rsidRPr="008B6B60" w:rsidRDefault="00786833" w:rsidP="00786833">
      <w:pPr>
        <w:tabs>
          <w:tab w:val="left" w:pos="286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оптимальное соотношение комплекса программного обеспечения, технического обеспечения и кадрового сопровождения МИС.</w:t>
      </w:r>
    </w:p>
    <w:p w:rsidR="00786833" w:rsidRPr="008B6B60" w:rsidRDefault="00786833" w:rsidP="00786833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 xml:space="preserve"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</w:t>
      </w:r>
      <w:r w:rsidRPr="008B6B60">
        <w:rPr>
          <w:rFonts w:ascii="Times New Roman" w:hAnsi="Times New Roman"/>
          <w:sz w:val="28"/>
          <w:szCs w:val="28"/>
        </w:rPr>
        <w:lastRenderedPageBreak/>
        <w:t>результативности (раздел 2.5 настоящей муниципальной программы) по истечении отчетного периода.</w:t>
      </w: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/>
          <w:caps/>
          <w:sz w:val="28"/>
          <w:szCs w:val="28"/>
        </w:rPr>
      </w:pPr>
    </w:p>
    <w:p w:rsidR="00786833" w:rsidRPr="008B6B60" w:rsidRDefault="00786833" w:rsidP="00786833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t xml:space="preserve"> Социально-экономическое обоснование подпрограммы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 2019 – 2021 годы состоялись первые закупки по обновлению серверного кластера и расширение аппаратной части, однако, завершение обновления оборудования необходимо продолжить в 2025-2027 годах, поскольку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Проблемы МИС:</w:t>
      </w:r>
    </w:p>
    <w:p w:rsidR="00786833" w:rsidRPr="008B6B60" w:rsidRDefault="00786833" w:rsidP="00786833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аппаратная платформа на 50 % серверов выпуска 2009-2013 годов, и соответственно требует частого ремонта и замены оборудования;</w:t>
      </w:r>
    </w:p>
    <w:p w:rsidR="00786833" w:rsidRPr="008B6B60" w:rsidRDefault="00786833" w:rsidP="00786833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затраты на сопровождение системного ПО постоянно растут.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2025-2027 годы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– ЕИС) документов по закупке.</w:t>
      </w:r>
    </w:p>
    <w:p w:rsidR="00786833" w:rsidRPr="008B6B60" w:rsidRDefault="00786833" w:rsidP="0078683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786833" w:rsidRPr="008B6B60" w:rsidSect="00605336">
          <w:headerReference w:type="default" r:id="rId28"/>
          <w:pgSz w:w="11906" w:h="16838"/>
          <w:pgMar w:top="1134" w:right="567" w:bottom="1134" w:left="1134" w:header="284" w:footer="709" w:gutter="0"/>
          <w:pgNumType w:start="17"/>
          <w:cols w:space="708"/>
          <w:docGrid w:linePitch="360"/>
        </w:sectPr>
      </w:pPr>
    </w:p>
    <w:p w:rsidR="00786833" w:rsidRPr="008B6B60" w:rsidRDefault="00786833" w:rsidP="00786833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lastRenderedPageBreak/>
        <w:t xml:space="preserve"> Финансирование подпрограммы</w:t>
      </w:r>
    </w:p>
    <w:p w:rsidR="00786833" w:rsidRPr="008B6B60" w:rsidRDefault="00786833" w:rsidP="00786833">
      <w:pPr>
        <w:ind w:left="720"/>
        <w:contextualSpacing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1"/>
        <w:gridCol w:w="1412"/>
        <w:gridCol w:w="1752"/>
        <w:gridCol w:w="1412"/>
        <w:gridCol w:w="1752"/>
        <w:gridCol w:w="1412"/>
        <w:gridCol w:w="1752"/>
        <w:gridCol w:w="1412"/>
        <w:gridCol w:w="1752"/>
      </w:tblGrid>
      <w:tr w:rsidR="00786833" w:rsidRPr="008B6B60" w:rsidTr="005C4805"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1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0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786833" w:rsidRPr="008B6B60" w:rsidTr="005C4805"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786833" w:rsidRPr="008B6B60" w:rsidTr="005C4805">
        <w:trPr>
          <w:trHeight w:val="232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0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786833" w:rsidRPr="008B6B60" w:rsidTr="005C4805">
        <w:trPr>
          <w:trHeight w:val="232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833" w:rsidRPr="008B6B60" w:rsidRDefault="00786833" w:rsidP="005C4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786833" w:rsidRPr="008B6B60" w:rsidTr="005C4805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86833" w:rsidRPr="008B6B60" w:rsidTr="005C4805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19 140,0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790,6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color w:val="000000"/>
                <w:sz w:val="28"/>
                <w:szCs w:val="28"/>
              </w:rPr>
              <w:t>6 380,0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930,2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color w:val="000000"/>
                <w:sz w:val="28"/>
                <w:szCs w:val="28"/>
              </w:rPr>
              <w:t>380,0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930,2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color w:val="000000"/>
                <w:sz w:val="28"/>
                <w:szCs w:val="28"/>
              </w:rPr>
              <w:t>6 380,0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930,2</w:t>
            </w:r>
          </w:p>
        </w:tc>
      </w:tr>
      <w:tr w:rsidR="00786833" w:rsidRPr="008B6B60" w:rsidTr="005C4805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19 140,0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790,6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color w:val="000000"/>
                <w:sz w:val="28"/>
                <w:szCs w:val="28"/>
              </w:rPr>
              <w:t>6 380,0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930,2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color w:val="000000"/>
                <w:sz w:val="28"/>
                <w:szCs w:val="28"/>
              </w:rPr>
              <w:t>380,0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930,2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color w:val="000000"/>
                <w:sz w:val="28"/>
                <w:szCs w:val="28"/>
              </w:rPr>
              <w:t>6 380,0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33" w:rsidRPr="008B6B60" w:rsidRDefault="00786833" w:rsidP="005C48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6B60">
              <w:rPr>
                <w:rFonts w:ascii="Times New Roman" w:hAnsi="Times New Roman"/>
                <w:sz w:val="28"/>
                <w:szCs w:val="28"/>
              </w:rPr>
              <w:t>930,2</w:t>
            </w:r>
          </w:p>
        </w:tc>
      </w:tr>
    </w:tbl>
    <w:p w:rsidR="00786833" w:rsidRPr="008B6B60" w:rsidRDefault="00786833" w:rsidP="00786833">
      <w:pPr>
        <w:ind w:left="720"/>
        <w:contextualSpacing/>
        <w:rPr>
          <w:rFonts w:ascii="Times New Roman" w:hAnsi="Times New Roman"/>
          <w:sz w:val="28"/>
          <w:szCs w:val="28"/>
        </w:rPr>
        <w:sectPr w:rsidR="00786833" w:rsidRPr="008B6B60" w:rsidSect="00F5337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86833" w:rsidRPr="008B6B60" w:rsidRDefault="00786833" w:rsidP="00786833">
      <w:pPr>
        <w:numPr>
          <w:ilvl w:val="1"/>
          <w:numId w:val="26"/>
        </w:numPr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lastRenderedPageBreak/>
        <w:t xml:space="preserve"> Механизм реализации подпрограммы</w:t>
      </w:r>
    </w:p>
    <w:p w:rsidR="00786833" w:rsidRPr="008B6B60" w:rsidRDefault="00786833" w:rsidP="00786833">
      <w:pPr>
        <w:spacing w:after="0" w:line="240" w:lineRule="auto"/>
        <w:ind w:left="720"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6833" w:rsidRPr="008B6B60" w:rsidRDefault="00786833" w:rsidP="00786833">
      <w:pPr>
        <w:spacing w:after="0" w:line="240" w:lineRule="auto"/>
        <w:ind w:left="720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Подпрограмма основана на следующих принципах:</w:t>
      </w: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концентрация финансовых ресурсов на решении ключевых задач;</w:t>
      </w: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обоснованность объемов финансирования каждой задачи;</w:t>
      </w: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выбор решений, обеспечивающих выполнение целей и снижение совокупной стоимости владения.</w:t>
      </w:r>
    </w:p>
    <w:p w:rsidR="00786833" w:rsidRPr="008B6B60" w:rsidRDefault="00786833" w:rsidP="0078683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Соблюдение данных принципов позволит обеспечить поддержание на должном уровне бесперебойность функционирования МИС Департамента финансов.</w:t>
      </w:r>
    </w:p>
    <w:p w:rsidR="00786833" w:rsidRPr="008B6B60" w:rsidRDefault="00786833" w:rsidP="0078683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общее руководство и контроль за реализацией мероприятия осуществляется директором Департамента финансов;</w:t>
      </w: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B60">
        <w:rPr>
          <w:rFonts w:ascii="Times New Roman" w:hAnsi="Times New Roman"/>
          <w:color w:val="000000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 xml:space="preserve">механизм финансирования программных мероприятий – за счет </w:t>
      </w:r>
      <w:proofErr w:type="gramStart"/>
      <w:r w:rsidRPr="008B6B60">
        <w:rPr>
          <w:rFonts w:ascii="Times New Roman" w:hAnsi="Times New Roman"/>
          <w:sz w:val="28"/>
          <w:szCs w:val="28"/>
        </w:rPr>
        <w:t>средств</w:t>
      </w:r>
      <w:proofErr w:type="gramEnd"/>
      <w:r w:rsidRPr="00B6475D">
        <w:rPr>
          <w:rFonts w:ascii="Times New Roman" w:hAnsi="Times New Roman"/>
          <w:sz w:val="28"/>
          <w:szCs w:val="28"/>
        </w:rPr>
        <w:t xml:space="preserve"> </w:t>
      </w:r>
      <w:r w:rsidRPr="008B6B60">
        <w:rPr>
          <w:rFonts w:ascii="Times New Roman" w:hAnsi="Times New Roman"/>
          <w:sz w:val="28"/>
          <w:szCs w:val="28"/>
        </w:rPr>
        <w:t>заложенных в бюджете городского округа на 2025 – 2027 годы;</w:t>
      </w: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B6B60">
        <w:rPr>
          <w:rFonts w:ascii="Times New Roman" w:hAnsi="Times New Roman"/>
          <w:sz w:val="28"/>
          <w:szCs w:val="28"/>
        </w:rPr>
        <w:t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ЕИС.</w:t>
      </w: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p w:rsidR="00786833" w:rsidRPr="008B6B60" w:rsidRDefault="00786833" w:rsidP="00786833">
      <w:pPr>
        <w:numPr>
          <w:ilvl w:val="1"/>
          <w:numId w:val="26"/>
        </w:num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t xml:space="preserve"> Индикаторы результативности подпрограммы</w:t>
      </w:r>
    </w:p>
    <w:tbl>
      <w:tblPr>
        <w:tblpPr w:leftFromText="180" w:rightFromText="180" w:vertAnchor="text" w:horzAnchor="margin" w:tblpX="-176" w:tblpY="7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1"/>
        <w:gridCol w:w="2495"/>
        <w:gridCol w:w="1347"/>
        <w:gridCol w:w="1444"/>
        <w:gridCol w:w="806"/>
        <w:gridCol w:w="806"/>
        <w:gridCol w:w="806"/>
      </w:tblGrid>
      <w:tr w:rsidR="00786833" w:rsidRPr="008B6B60" w:rsidTr="005C4805">
        <w:trPr>
          <w:trHeight w:val="38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786833" w:rsidRPr="008B6B60" w:rsidTr="005C4805">
        <w:tc>
          <w:tcPr>
            <w:tcW w:w="107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47" w:type="pct"/>
            <w:vMerge w:val="restart"/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базовое значение (результат 2024 года)</w:t>
            </w:r>
          </w:p>
        </w:tc>
        <w:tc>
          <w:tcPr>
            <w:tcW w:w="1498" w:type="pct"/>
            <w:gridSpan w:val="3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786833" w:rsidRPr="008B6B60" w:rsidTr="005C4805">
        <w:tc>
          <w:tcPr>
            <w:tcW w:w="1075" w:type="pct"/>
            <w:vMerge/>
            <w:tcBorders>
              <w:right w:val="single" w:sz="4" w:space="0" w:color="auto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pct"/>
            <w:vMerge/>
            <w:tcBorders>
              <w:righ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</w:tcBorders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" w:type="pct"/>
            <w:vMerge/>
            <w:vAlign w:val="center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pct"/>
            <w:vAlign w:val="bottom"/>
          </w:tcPr>
          <w:p w:rsidR="00786833" w:rsidRPr="008B6B60" w:rsidRDefault="00786833" w:rsidP="005C48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521" w:type="pct"/>
            <w:vAlign w:val="bottom"/>
          </w:tcPr>
          <w:p w:rsidR="00786833" w:rsidRPr="008B6B60" w:rsidRDefault="00786833" w:rsidP="005C48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522" w:type="pct"/>
            <w:vAlign w:val="bottom"/>
          </w:tcPr>
          <w:p w:rsidR="00786833" w:rsidRPr="008B6B60" w:rsidRDefault="00786833" w:rsidP="005C48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786833" w:rsidRPr="008B6B60" w:rsidTr="005C4805">
        <w:trPr>
          <w:trHeight w:val="281"/>
        </w:trPr>
        <w:tc>
          <w:tcPr>
            <w:tcW w:w="1075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4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6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" w:type="pct"/>
            <w:tcBorders>
              <w:bottom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pct"/>
            <w:tcBorders>
              <w:bottom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  <w:tcBorders>
              <w:bottom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2" w:type="pct"/>
            <w:tcBorders>
              <w:bottom w:val="single" w:sz="4" w:space="0" w:color="000000"/>
            </w:tcBorders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833" w:rsidRPr="008B6B60" w:rsidTr="005C4805">
        <w:trPr>
          <w:trHeight w:val="281"/>
        </w:trPr>
        <w:tc>
          <w:tcPr>
            <w:tcW w:w="1075" w:type="pct"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Бесперебойное функционирование центра обработки данных и рабочих мест пользователей МИС </w:t>
            </w:r>
          </w:p>
        </w:tc>
        <w:tc>
          <w:tcPr>
            <w:tcW w:w="994" w:type="pct"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1. Обеспечение бесперебойного функционирования МИС </w:t>
            </w:r>
          </w:p>
        </w:tc>
        <w:tc>
          <w:tcPr>
            <w:tcW w:w="586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84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</w:pPr>
            <w:r w:rsidRPr="008B6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56" w:type="pct"/>
            <w:shd w:val="clear" w:color="auto" w:fill="auto"/>
          </w:tcPr>
          <w:p w:rsidR="00786833" w:rsidRPr="008B6B60" w:rsidRDefault="00786833" w:rsidP="005C4805">
            <w:r w:rsidRPr="008B6B60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521" w:type="pct"/>
          </w:tcPr>
          <w:p w:rsidR="00786833" w:rsidRPr="008B6B60" w:rsidRDefault="00786833" w:rsidP="005C4805">
            <w:r w:rsidRPr="008B6B60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522" w:type="pct"/>
          </w:tcPr>
          <w:p w:rsidR="00786833" w:rsidRPr="008B6B60" w:rsidRDefault="00786833" w:rsidP="005C4805">
            <w:pPr>
              <w:rPr>
                <w:rFonts w:ascii="Times New Roman" w:hAnsi="Times New Roman"/>
                <w:sz w:val="26"/>
                <w:szCs w:val="26"/>
              </w:rPr>
            </w:pPr>
            <w:r w:rsidRPr="008B6B60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  <w:tr w:rsidR="00786833" w:rsidRPr="008B6B60" w:rsidTr="005C4805">
        <w:trPr>
          <w:trHeight w:val="2072"/>
        </w:trPr>
        <w:tc>
          <w:tcPr>
            <w:tcW w:w="1075" w:type="pct"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 w:firstLine="34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lastRenderedPageBreak/>
              <w:t>Поддержание оптимального соотношения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994" w:type="pct"/>
          </w:tcPr>
          <w:p w:rsidR="00786833" w:rsidRPr="008B6B60" w:rsidRDefault="00786833" w:rsidP="005C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 w:firstLine="34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 xml:space="preserve">2. Обеспечение бесперебойного функционирования центра обработки данных и рабочих мест пользователей МИС </w:t>
            </w:r>
          </w:p>
        </w:tc>
        <w:tc>
          <w:tcPr>
            <w:tcW w:w="586" w:type="pct"/>
          </w:tcPr>
          <w:p w:rsidR="00786833" w:rsidRPr="008B6B60" w:rsidRDefault="00786833" w:rsidP="005C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B60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847" w:type="pct"/>
            <w:shd w:val="clear" w:color="auto" w:fill="auto"/>
          </w:tcPr>
          <w:p w:rsidR="00786833" w:rsidRPr="008B6B60" w:rsidRDefault="00786833" w:rsidP="005C4805">
            <w:pPr>
              <w:spacing w:after="0" w:line="240" w:lineRule="auto"/>
              <w:jc w:val="center"/>
            </w:pPr>
            <w:r w:rsidRPr="008B6B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56" w:type="pct"/>
            <w:shd w:val="clear" w:color="auto" w:fill="auto"/>
          </w:tcPr>
          <w:p w:rsidR="00786833" w:rsidRPr="008B6B60" w:rsidRDefault="00786833" w:rsidP="005C4805">
            <w:r w:rsidRPr="008B6B60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521" w:type="pct"/>
          </w:tcPr>
          <w:p w:rsidR="00786833" w:rsidRPr="008B6B60" w:rsidRDefault="00786833" w:rsidP="005C4805">
            <w:r w:rsidRPr="008B6B60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522" w:type="pct"/>
          </w:tcPr>
          <w:p w:rsidR="00786833" w:rsidRPr="008B6B60" w:rsidRDefault="00786833" w:rsidP="005C4805">
            <w:pPr>
              <w:rPr>
                <w:rFonts w:ascii="Times New Roman" w:hAnsi="Times New Roman"/>
                <w:sz w:val="26"/>
                <w:szCs w:val="26"/>
              </w:rPr>
            </w:pPr>
            <w:r w:rsidRPr="008B6B60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</w:tbl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786833" w:rsidRPr="008B6B60" w:rsidRDefault="00786833" w:rsidP="00786833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aps/>
          <w:sz w:val="28"/>
          <w:szCs w:val="28"/>
        </w:rPr>
        <w:sectPr w:rsidR="00786833" w:rsidRPr="008B6B60" w:rsidSect="00F5337D">
          <w:pgSz w:w="11906" w:h="16838"/>
          <w:pgMar w:top="1134" w:right="567" w:bottom="1134" w:left="1134" w:header="284" w:footer="709" w:gutter="0"/>
          <w:cols w:space="708"/>
          <w:docGrid w:linePitch="360"/>
        </w:sectPr>
      </w:pP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86833" w:rsidRPr="008B6B60" w:rsidRDefault="00786833" w:rsidP="00786833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8B6B60">
        <w:rPr>
          <w:rFonts w:ascii="Times New Roman" w:hAnsi="Times New Roman"/>
          <w:caps/>
          <w:sz w:val="28"/>
          <w:szCs w:val="28"/>
        </w:rPr>
        <w:t xml:space="preserve"> перечень мероприятий подпрограммы</w:t>
      </w:r>
    </w:p>
    <w:tbl>
      <w:tblPr>
        <w:tblpPr w:leftFromText="180" w:rightFromText="180" w:vertAnchor="text" w:horzAnchor="margin" w:tblpXSpec="center" w:tblpY="260"/>
        <w:tblW w:w="16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78"/>
        <w:gridCol w:w="846"/>
        <w:gridCol w:w="990"/>
        <w:gridCol w:w="1283"/>
        <w:gridCol w:w="1418"/>
        <w:gridCol w:w="1417"/>
        <w:gridCol w:w="1418"/>
        <w:gridCol w:w="1280"/>
        <w:gridCol w:w="1271"/>
        <w:gridCol w:w="1843"/>
        <w:gridCol w:w="1275"/>
        <w:gridCol w:w="17"/>
      </w:tblGrid>
      <w:tr w:rsidR="00786833" w:rsidRPr="001414A7" w:rsidTr="005C4805">
        <w:trPr>
          <w:trHeight w:val="313"/>
        </w:trPr>
        <w:tc>
          <w:tcPr>
            <w:tcW w:w="665" w:type="dxa"/>
            <w:vMerge w:val="restart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№</w:t>
            </w:r>
          </w:p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п/п</w:t>
            </w:r>
          </w:p>
        </w:tc>
        <w:tc>
          <w:tcPr>
            <w:tcW w:w="2278" w:type="dxa"/>
            <w:vMerge w:val="restart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Единицы измерения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proofErr w:type="spellStart"/>
            <w:proofErr w:type="gramStart"/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Источ</w:t>
            </w:r>
            <w:proofErr w:type="spellEnd"/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-ник</w:t>
            </w:r>
            <w:proofErr w:type="gramEnd"/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финан-сирова-ния</w:t>
            </w:r>
            <w:proofErr w:type="spellEnd"/>
          </w:p>
        </w:tc>
        <w:tc>
          <w:tcPr>
            <w:tcW w:w="8087" w:type="dxa"/>
            <w:gridSpan w:val="6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Ожидаемый результат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Ответственный исполнитель</w:t>
            </w:r>
          </w:p>
        </w:tc>
      </w:tr>
      <w:tr w:rsidR="00786833" w:rsidRPr="001414A7" w:rsidTr="005C4805">
        <w:trPr>
          <w:trHeight w:val="313"/>
        </w:trPr>
        <w:tc>
          <w:tcPr>
            <w:tcW w:w="665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2025 год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2026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2027 год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 w:val="restart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786833" w:rsidRPr="001414A7" w:rsidTr="005C4805">
        <w:trPr>
          <w:trHeight w:val="642"/>
        </w:trPr>
        <w:tc>
          <w:tcPr>
            <w:tcW w:w="665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786833" w:rsidRPr="001414A7" w:rsidTr="005C4805">
        <w:trPr>
          <w:trHeight w:val="293"/>
        </w:trPr>
        <w:tc>
          <w:tcPr>
            <w:tcW w:w="665" w:type="dxa"/>
            <w:shd w:val="clear" w:color="auto" w:fill="auto"/>
            <w:noWrap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1</w:t>
            </w:r>
          </w:p>
        </w:tc>
        <w:tc>
          <w:tcPr>
            <w:tcW w:w="227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</w:tr>
      <w:tr w:rsidR="00786833" w:rsidRPr="001414A7" w:rsidTr="005C4805">
        <w:trPr>
          <w:trHeight w:val="433"/>
        </w:trPr>
        <w:tc>
          <w:tcPr>
            <w:tcW w:w="665" w:type="dxa"/>
            <w:vMerge w:val="restart"/>
            <w:shd w:val="clear" w:color="auto" w:fill="auto"/>
            <w:noWrap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1.</w:t>
            </w:r>
          </w:p>
        </w:tc>
        <w:tc>
          <w:tcPr>
            <w:tcW w:w="2278" w:type="dxa"/>
            <w:vMerge w:val="restart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Задача 1.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1414A7">
              <w:rPr>
                <w:rFonts w:eastAsia="Calibri"/>
              </w:rPr>
              <w:t xml:space="preserve"> 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функционирование центра обработки данных и рабочих мест пользователей муниципальных информационных систем</w:t>
            </w:r>
          </w:p>
        </w:tc>
        <w:tc>
          <w:tcPr>
            <w:tcW w:w="846" w:type="dxa"/>
            <w:shd w:val="clear" w:color="auto" w:fill="auto"/>
            <w:hideMark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 w:val="restart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86833" w:rsidRPr="001414A7" w:rsidTr="005C4805">
        <w:trPr>
          <w:trHeight w:val="328"/>
        </w:trPr>
        <w:tc>
          <w:tcPr>
            <w:tcW w:w="665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hideMark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1843" w:type="dxa"/>
            <w:vMerge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86833" w:rsidRPr="001414A7" w:rsidTr="005C4805">
        <w:trPr>
          <w:trHeight w:val="328"/>
        </w:trPr>
        <w:tc>
          <w:tcPr>
            <w:tcW w:w="665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1.1</w:t>
            </w:r>
          </w:p>
        </w:tc>
        <w:tc>
          <w:tcPr>
            <w:tcW w:w="227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 Обеспечение своевременной замены серверного оборудования и сетевого, компьютерного оборудования по окончании срока полезного использования</w:t>
            </w:r>
          </w:p>
        </w:tc>
        <w:tc>
          <w:tcPr>
            <w:tcW w:w="846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141,3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491,0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141,3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491,0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141,3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491,0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Поддержание технического состояния МИС 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sz w:val="24"/>
                <w:szCs w:val="24"/>
              </w:rPr>
              <w:t>Департамент финансов</w:t>
            </w:r>
          </w:p>
        </w:tc>
      </w:tr>
      <w:tr w:rsidR="00786833" w:rsidRPr="001414A7" w:rsidTr="005C4805">
        <w:trPr>
          <w:trHeight w:val="293"/>
        </w:trPr>
        <w:tc>
          <w:tcPr>
            <w:tcW w:w="665" w:type="dxa"/>
            <w:shd w:val="clear" w:color="auto" w:fill="auto"/>
            <w:noWrap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1</w:t>
            </w:r>
          </w:p>
        </w:tc>
        <w:tc>
          <w:tcPr>
            <w:tcW w:w="227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</w:tr>
      <w:tr w:rsidR="00786833" w:rsidRPr="001414A7" w:rsidTr="005C4805">
        <w:trPr>
          <w:trHeight w:val="328"/>
        </w:trPr>
        <w:tc>
          <w:tcPr>
            <w:tcW w:w="665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1.2.</w:t>
            </w:r>
          </w:p>
        </w:tc>
        <w:tc>
          <w:tcPr>
            <w:tcW w:w="227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2: Поддержание работоспособности серверного оборудования и офисной техники</w:t>
            </w:r>
          </w:p>
        </w:tc>
        <w:tc>
          <w:tcPr>
            <w:tcW w:w="846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191,8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191,8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191,8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технического состояния МИС и организация надежности ее эксплуатации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sz w:val="24"/>
                <w:szCs w:val="24"/>
              </w:rPr>
              <w:t>Департамент финансов</w:t>
            </w:r>
          </w:p>
        </w:tc>
      </w:tr>
      <w:tr w:rsidR="00786833" w:rsidRPr="001414A7" w:rsidTr="005C4805">
        <w:trPr>
          <w:trHeight w:val="942"/>
        </w:trPr>
        <w:tc>
          <w:tcPr>
            <w:tcW w:w="665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1.3.</w:t>
            </w:r>
          </w:p>
        </w:tc>
        <w:tc>
          <w:tcPr>
            <w:tcW w:w="227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3: Оплата услуг электронной связи</w:t>
            </w:r>
          </w:p>
        </w:tc>
        <w:tc>
          <w:tcPr>
            <w:tcW w:w="846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функционирования МИС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sz w:val="24"/>
                <w:szCs w:val="24"/>
              </w:rPr>
              <w:t>Департамент финансов</w:t>
            </w:r>
          </w:p>
        </w:tc>
      </w:tr>
      <w:tr w:rsidR="00786833" w:rsidRPr="001414A7" w:rsidTr="005C4805">
        <w:trPr>
          <w:trHeight w:val="1134"/>
        </w:trPr>
        <w:tc>
          <w:tcPr>
            <w:tcW w:w="665" w:type="dxa"/>
            <w:vMerge w:val="restart"/>
            <w:shd w:val="clear" w:color="auto" w:fill="auto"/>
            <w:noWrap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2.</w:t>
            </w:r>
          </w:p>
        </w:tc>
        <w:tc>
          <w:tcPr>
            <w:tcW w:w="2278" w:type="dxa"/>
            <w:vMerge w:val="restart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Задача 2.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1414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414A7">
              <w:rPr>
                <w:rFonts w:eastAsia="Calibri"/>
              </w:rPr>
              <w:t xml:space="preserve"> </w:t>
            </w:r>
            <w:r w:rsidRPr="001414A7">
              <w:rPr>
                <w:rFonts w:ascii="Times New Roman" w:eastAsia="Calibri" w:hAnsi="Times New Roman"/>
                <w:sz w:val="24"/>
                <w:szCs w:val="24"/>
              </w:rPr>
              <w:t xml:space="preserve">Поддержание оптимального соотношения комплекса программного обеспечения, технического обеспечения и кадрового </w:t>
            </w:r>
            <w:r w:rsidRPr="001414A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сопровождения МИС</w:t>
            </w:r>
          </w:p>
        </w:tc>
        <w:tc>
          <w:tcPr>
            <w:tcW w:w="846" w:type="dxa"/>
            <w:shd w:val="clear" w:color="auto" w:fill="auto"/>
            <w:hideMark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990" w:type="dxa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909,7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909,7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909,7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 w:val="restart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86833" w:rsidRPr="001414A7" w:rsidTr="005C4805">
        <w:trPr>
          <w:trHeight w:val="1134"/>
        </w:trPr>
        <w:tc>
          <w:tcPr>
            <w:tcW w:w="665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hideMark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909,7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909,7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909,7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843" w:type="dxa"/>
            <w:vMerge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86833" w:rsidRPr="001414A7" w:rsidTr="005C4805">
        <w:trPr>
          <w:trHeight w:val="1204"/>
        </w:trPr>
        <w:tc>
          <w:tcPr>
            <w:tcW w:w="665" w:type="dxa"/>
            <w:shd w:val="clear" w:color="auto" w:fill="auto"/>
            <w:noWrap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2.1.</w:t>
            </w:r>
          </w:p>
        </w:tc>
        <w:tc>
          <w:tcPr>
            <w:tcW w:w="2278" w:type="dxa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</w:t>
            </w:r>
          </w:p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Продление технической поддержки на прикладное ПО (АС-Бюджет)</w:t>
            </w:r>
          </w:p>
        </w:tc>
        <w:tc>
          <w:tcPr>
            <w:tcW w:w="846" w:type="dxa"/>
            <w:shd w:val="clear" w:color="auto" w:fill="auto"/>
            <w:hideMark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909,7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6 000,0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909,7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6 000,0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5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909,7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6 000,0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Обеспечение технической поддержкой программного комплекса МИС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sz w:val="24"/>
                <w:szCs w:val="24"/>
              </w:rPr>
              <w:t>Департамент финансов</w:t>
            </w:r>
          </w:p>
        </w:tc>
      </w:tr>
      <w:tr w:rsidR="00786833" w:rsidRPr="001414A7" w:rsidTr="005C4805">
        <w:trPr>
          <w:gridAfter w:val="1"/>
          <w:wAfter w:w="17" w:type="dxa"/>
          <w:trHeight w:val="293"/>
        </w:trPr>
        <w:tc>
          <w:tcPr>
            <w:tcW w:w="665" w:type="dxa"/>
            <w:shd w:val="clear" w:color="auto" w:fill="auto"/>
            <w:noWrap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1</w:t>
            </w:r>
          </w:p>
        </w:tc>
        <w:tc>
          <w:tcPr>
            <w:tcW w:w="227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1414A7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</w:tr>
      <w:tr w:rsidR="00786833" w:rsidRPr="001414A7" w:rsidTr="005C4805">
        <w:trPr>
          <w:gridAfter w:val="1"/>
          <w:wAfter w:w="17" w:type="dxa"/>
          <w:trHeight w:val="686"/>
        </w:trPr>
        <w:tc>
          <w:tcPr>
            <w:tcW w:w="665" w:type="dxa"/>
            <w:shd w:val="clear" w:color="auto" w:fill="auto"/>
            <w:noWrap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2.2.</w:t>
            </w:r>
          </w:p>
        </w:tc>
        <w:tc>
          <w:tcPr>
            <w:tcW w:w="2278" w:type="dxa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2:</w:t>
            </w:r>
          </w:p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Продление технической поддержки системного программного обеспечения</w:t>
            </w:r>
          </w:p>
        </w:tc>
        <w:tc>
          <w:tcPr>
            <w:tcW w:w="846" w:type="dxa"/>
            <w:shd w:val="clear" w:color="auto" w:fill="auto"/>
            <w:hideMark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  <w:hideMark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108,0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108,0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108,0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ind w:left="-119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функционирования МИС</w:t>
            </w:r>
          </w:p>
        </w:tc>
        <w:tc>
          <w:tcPr>
            <w:tcW w:w="1275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Департамент финансов</w:t>
            </w:r>
          </w:p>
        </w:tc>
      </w:tr>
      <w:tr w:rsidR="00786833" w:rsidRPr="001414A7" w:rsidTr="005C4805">
        <w:trPr>
          <w:gridAfter w:val="1"/>
          <w:wAfter w:w="17" w:type="dxa"/>
          <w:trHeight w:val="328"/>
        </w:trPr>
        <w:tc>
          <w:tcPr>
            <w:tcW w:w="665" w:type="dxa"/>
            <w:vMerge w:val="restart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Итого по подпрограмме</w:t>
            </w:r>
          </w:p>
        </w:tc>
        <w:tc>
          <w:tcPr>
            <w:tcW w:w="846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86833" w:rsidRPr="001414A7" w:rsidTr="005C4805">
        <w:trPr>
          <w:gridAfter w:val="1"/>
          <w:wAfter w:w="17" w:type="dxa"/>
          <w:trHeight w:val="328"/>
        </w:trPr>
        <w:tc>
          <w:tcPr>
            <w:tcW w:w="665" w:type="dxa"/>
            <w:vMerge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786833" w:rsidRPr="001414A7" w:rsidRDefault="00786833" w:rsidP="005C4805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  <w:t>ГБ</w:t>
            </w:r>
          </w:p>
        </w:tc>
        <w:tc>
          <w:tcPr>
            <w:tcW w:w="128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417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418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280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271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414A7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843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86833" w:rsidRPr="001414A7" w:rsidRDefault="00786833" w:rsidP="005C480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32"/>
          <w:sz w:val="24"/>
          <w:szCs w:val="24"/>
        </w:rPr>
      </w:pP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32"/>
          <w:sz w:val="24"/>
          <w:szCs w:val="24"/>
        </w:rPr>
      </w:pPr>
    </w:p>
    <w:p w:rsidR="00786833" w:rsidRPr="008B6B60" w:rsidRDefault="00786833" w:rsidP="00786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7"/>
          <w:szCs w:val="27"/>
          <w:u w:val="single"/>
        </w:rPr>
      </w:pPr>
      <w:r w:rsidRPr="008B6B60">
        <w:rPr>
          <w:rFonts w:ascii="Times New Roman" w:eastAsia="Calibri" w:hAnsi="Times New Roman"/>
          <w:kern w:val="32"/>
          <w:sz w:val="24"/>
          <w:szCs w:val="24"/>
        </w:rPr>
        <w:t xml:space="preserve">Директор Департамента финансов        </w:t>
      </w:r>
      <w:r w:rsidRPr="00F5337D">
        <w:rPr>
          <w:rFonts w:ascii="Times New Roman" w:eastAsia="Calibri" w:hAnsi="Times New Roman"/>
          <w:kern w:val="32"/>
          <w:sz w:val="24"/>
          <w:szCs w:val="24"/>
        </w:rPr>
        <w:t xml:space="preserve">            </w:t>
      </w:r>
      <w:r w:rsidRPr="008B6B60">
        <w:rPr>
          <w:rFonts w:ascii="Times New Roman" w:eastAsia="Calibri" w:hAnsi="Times New Roman"/>
          <w:kern w:val="32"/>
          <w:sz w:val="24"/>
          <w:szCs w:val="24"/>
        </w:rPr>
        <w:t xml:space="preserve">                                                                                                                                                    Н.Н. Петухова</w:t>
      </w:r>
    </w:p>
    <w:p w:rsidR="00786833" w:rsidRDefault="00786833" w:rsidP="00B8502C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  <w:bookmarkStart w:id="2" w:name="_GoBack"/>
      <w:bookmarkEnd w:id="2"/>
    </w:p>
    <w:p w:rsidR="00786833" w:rsidRPr="00D12182" w:rsidRDefault="00786833" w:rsidP="00B8502C">
      <w:pPr>
        <w:spacing w:after="0" w:line="240" w:lineRule="auto"/>
        <w:ind w:left="6946"/>
        <w:jc w:val="both"/>
        <w:rPr>
          <w:rFonts w:ascii="Times New Roman" w:hAnsi="Times New Roman"/>
          <w:spacing w:val="2"/>
          <w:sz w:val="24"/>
          <w:szCs w:val="24"/>
        </w:rPr>
      </w:pPr>
    </w:p>
    <w:sectPr w:rsidR="00786833" w:rsidRPr="00D12182" w:rsidSect="00786833">
      <w:pgSz w:w="11906" w:h="16838"/>
      <w:pgMar w:top="426" w:right="566" w:bottom="1134" w:left="992" w:header="424" w:footer="0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3E" w:rsidRDefault="00ED573E">
      <w:pPr>
        <w:spacing w:after="0" w:line="240" w:lineRule="auto"/>
      </w:pPr>
      <w:r>
        <w:separator/>
      </w:r>
    </w:p>
  </w:endnote>
  <w:endnote w:type="continuationSeparator" w:id="0">
    <w:p w:rsidR="00ED573E" w:rsidRDefault="00E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3" w:rsidRDefault="00786833" w:rsidP="008B6B60">
    <w:pPr>
      <w:ind w:left="56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3E" w:rsidRDefault="00ED573E">
      <w:pPr>
        <w:spacing w:after="0" w:line="240" w:lineRule="auto"/>
      </w:pPr>
      <w:r>
        <w:separator/>
      </w:r>
    </w:p>
  </w:footnote>
  <w:footnote w:type="continuationSeparator" w:id="0">
    <w:p w:rsidR="00ED573E" w:rsidRDefault="00ED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3" w:rsidRDefault="00786833" w:rsidP="00CF184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3" w:rsidRPr="003B1CA9" w:rsidRDefault="00786833" w:rsidP="003B1CA9">
    <w:pPr>
      <w:pStyle w:val="aa"/>
      <w:jc w:val="center"/>
      <w:rPr>
        <w:lang w:val="en-US"/>
      </w:rPr>
    </w:pPr>
    <w:r>
      <w:rPr>
        <w:lang w:val="en-US"/>
      </w:rPr>
      <w:t>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3" w:rsidRPr="00124099" w:rsidRDefault="00786833" w:rsidP="0060533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20D"/>
    <w:multiLevelType w:val="hybridMultilevel"/>
    <w:tmpl w:val="7A069648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CE62C8"/>
    <w:multiLevelType w:val="hybridMultilevel"/>
    <w:tmpl w:val="301E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4022"/>
    <w:multiLevelType w:val="hybridMultilevel"/>
    <w:tmpl w:val="15ACA520"/>
    <w:lvl w:ilvl="0" w:tplc="2AF8C5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DD121C"/>
    <w:multiLevelType w:val="hybridMultilevel"/>
    <w:tmpl w:val="DACAFAEE"/>
    <w:lvl w:ilvl="0" w:tplc="2D5214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0C536E00"/>
    <w:multiLevelType w:val="hybridMultilevel"/>
    <w:tmpl w:val="A15CC10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CA2316"/>
    <w:multiLevelType w:val="hybridMultilevel"/>
    <w:tmpl w:val="79E26270"/>
    <w:lvl w:ilvl="0" w:tplc="2AF8C59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6" w15:restartNumberingAfterBreak="0">
    <w:nsid w:val="10082C1B"/>
    <w:multiLevelType w:val="hybridMultilevel"/>
    <w:tmpl w:val="A3E4CC2A"/>
    <w:lvl w:ilvl="0" w:tplc="10D89E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94A69"/>
    <w:multiLevelType w:val="hybridMultilevel"/>
    <w:tmpl w:val="A7D6324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2C2592"/>
    <w:multiLevelType w:val="multilevel"/>
    <w:tmpl w:val="2C16C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79B5B3F"/>
    <w:multiLevelType w:val="hybridMultilevel"/>
    <w:tmpl w:val="3B6A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A4873"/>
    <w:multiLevelType w:val="hybridMultilevel"/>
    <w:tmpl w:val="8024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139A0"/>
    <w:multiLevelType w:val="hybridMultilevel"/>
    <w:tmpl w:val="D526B1E4"/>
    <w:lvl w:ilvl="0" w:tplc="6038D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7543C6"/>
    <w:multiLevelType w:val="hybridMultilevel"/>
    <w:tmpl w:val="AA948A3A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8118F2"/>
    <w:multiLevelType w:val="hybridMultilevel"/>
    <w:tmpl w:val="44443392"/>
    <w:lvl w:ilvl="0" w:tplc="4A482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6A5113"/>
    <w:multiLevelType w:val="multilevel"/>
    <w:tmpl w:val="69E26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 w15:restartNumberingAfterBreak="0">
    <w:nsid w:val="25402F70"/>
    <w:multiLevelType w:val="hybridMultilevel"/>
    <w:tmpl w:val="1F0A4B9E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480A63"/>
    <w:multiLevelType w:val="hybridMultilevel"/>
    <w:tmpl w:val="748E0460"/>
    <w:lvl w:ilvl="0" w:tplc="2AF8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A54D9"/>
    <w:multiLevelType w:val="multilevel"/>
    <w:tmpl w:val="A26A42E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CB147C9"/>
    <w:multiLevelType w:val="hybridMultilevel"/>
    <w:tmpl w:val="4CCA512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661F07"/>
    <w:multiLevelType w:val="hybridMultilevel"/>
    <w:tmpl w:val="F97CD2A2"/>
    <w:lvl w:ilvl="0" w:tplc="2AF8C59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2FC2C72"/>
    <w:multiLevelType w:val="multilevel"/>
    <w:tmpl w:val="3C00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3980F80"/>
    <w:multiLevelType w:val="multilevel"/>
    <w:tmpl w:val="99EEA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536F2A"/>
    <w:multiLevelType w:val="hybridMultilevel"/>
    <w:tmpl w:val="ED86E8DC"/>
    <w:lvl w:ilvl="0" w:tplc="62086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D591E"/>
    <w:multiLevelType w:val="hybridMultilevel"/>
    <w:tmpl w:val="B21A1040"/>
    <w:lvl w:ilvl="0" w:tplc="AD8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D2A23"/>
    <w:multiLevelType w:val="multilevel"/>
    <w:tmpl w:val="F1CEF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60852AE"/>
    <w:multiLevelType w:val="multilevel"/>
    <w:tmpl w:val="F1CEF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7583D8B"/>
    <w:multiLevelType w:val="hybridMultilevel"/>
    <w:tmpl w:val="61AC61D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0E304D"/>
    <w:multiLevelType w:val="hybridMultilevel"/>
    <w:tmpl w:val="5DF87DE2"/>
    <w:lvl w:ilvl="0" w:tplc="2526667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447DEB"/>
    <w:multiLevelType w:val="hybridMultilevel"/>
    <w:tmpl w:val="D8688F18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857B5D"/>
    <w:multiLevelType w:val="multilevel"/>
    <w:tmpl w:val="E11459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466683"/>
    <w:multiLevelType w:val="hybridMultilevel"/>
    <w:tmpl w:val="355A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E6349"/>
    <w:multiLevelType w:val="hybridMultilevel"/>
    <w:tmpl w:val="63BE0DE0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0BD708F"/>
    <w:multiLevelType w:val="hybridMultilevel"/>
    <w:tmpl w:val="E08602C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2720D31"/>
    <w:multiLevelType w:val="hybridMultilevel"/>
    <w:tmpl w:val="8F5C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6569"/>
    <w:multiLevelType w:val="multilevel"/>
    <w:tmpl w:val="C3F4F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97622B3"/>
    <w:multiLevelType w:val="multilevel"/>
    <w:tmpl w:val="D542D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E394DDB"/>
    <w:multiLevelType w:val="hybridMultilevel"/>
    <w:tmpl w:val="C130E196"/>
    <w:lvl w:ilvl="0" w:tplc="2D521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4E070A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84396"/>
    <w:multiLevelType w:val="hybridMultilevel"/>
    <w:tmpl w:val="C39009B6"/>
    <w:lvl w:ilvl="0" w:tplc="818AF5D0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33271"/>
    <w:multiLevelType w:val="hybridMultilevel"/>
    <w:tmpl w:val="BDACEEAC"/>
    <w:lvl w:ilvl="0" w:tplc="2AF8C5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5D5B2E"/>
    <w:multiLevelType w:val="multilevel"/>
    <w:tmpl w:val="397EF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ourier New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8"/>
  </w:num>
  <w:num w:numId="5">
    <w:abstractNumId w:val="16"/>
  </w:num>
  <w:num w:numId="6">
    <w:abstractNumId w:val="4"/>
  </w:num>
  <w:num w:numId="7">
    <w:abstractNumId w:val="0"/>
  </w:num>
  <w:num w:numId="8">
    <w:abstractNumId w:val="7"/>
  </w:num>
  <w:num w:numId="9">
    <w:abstractNumId w:val="38"/>
  </w:num>
  <w:num w:numId="10">
    <w:abstractNumId w:val="26"/>
  </w:num>
  <w:num w:numId="11">
    <w:abstractNumId w:val="15"/>
  </w:num>
  <w:num w:numId="12">
    <w:abstractNumId w:val="3"/>
  </w:num>
  <w:num w:numId="13">
    <w:abstractNumId w:val="36"/>
  </w:num>
  <w:num w:numId="14">
    <w:abstractNumId w:val="23"/>
  </w:num>
  <w:num w:numId="15">
    <w:abstractNumId w:val="22"/>
  </w:num>
  <w:num w:numId="16">
    <w:abstractNumId w:val="31"/>
  </w:num>
  <w:num w:numId="17">
    <w:abstractNumId w:val="18"/>
  </w:num>
  <w:num w:numId="18">
    <w:abstractNumId w:val="19"/>
  </w:num>
  <w:num w:numId="19">
    <w:abstractNumId w:val="12"/>
  </w:num>
  <w:num w:numId="20">
    <w:abstractNumId w:val="30"/>
  </w:num>
  <w:num w:numId="21">
    <w:abstractNumId w:val="6"/>
  </w:num>
  <w:num w:numId="22">
    <w:abstractNumId w:val="9"/>
  </w:num>
  <w:num w:numId="23">
    <w:abstractNumId w:val="27"/>
  </w:num>
  <w:num w:numId="24">
    <w:abstractNumId w:val="2"/>
  </w:num>
  <w:num w:numId="25">
    <w:abstractNumId w:val="20"/>
  </w:num>
  <w:num w:numId="26">
    <w:abstractNumId w:val="14"/>
  </w:num>
  <w:num w:numId="27">
    <w:abstractNumId w:val="24"/>
  </w:num>
  <w:num w:numId="28">
    <w:abstractNumId w:val="32"/>
  </w:num>
  <w:num w:numId="29">
    <w:abstractNumId w:val="5"/>
  </w:num>
  <w:num w:numId="30">
    <w:abstractNumId w:val="29"/>
  </w:num>
  <w:num w:numId="31">
    <w:abstractNumId w:val="34"/>
  </w:num>
  <w:num w:numId="32">
    <w:abstractNumId w:val="25"/>
  </w:num>
  <w:num w:numId="33">
    <w:abstractNumId w:val="8"/>
  </w:num>
  <w:num w:numId="34">
    <w:abstractNumId w:val="33"/>
  </w:num>
  <w:num w:numId="35">
    <w:abstractNumId w:val="11"/>
  </w:num>
  <w:num w:numId="36">
    <w:abstractNumId w:val="13"/>
  </w:num>
  <w:num w:numId="37">
    <w:abstractNumId w:val="35"/>
  </w:num>
  <w:num w:numId="38">
    <w:abstractNumId w:val="21"/>
  </w:num>
  <w:num w:numId="39">
    <w:abstractNumId w:val="39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99"/>
    <w:rsid w:val="006F2999"/>
    <w:rsid w:val="00786833"/>
    <w:rsid w:val="00B8502C"/>
    <w:rsid w:val="00E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C9F64-AE69-49C6-B12C-D0B5EB3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502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50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50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F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29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850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0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02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8502C"/>
    <w:pPr>
      <w:ind w:left="720"/>
      <w:contextualSpacing/>
    </w:pPr>
  </w:style>
  <w:style w:type="character" w:customStyle="1" w:styleId="blk">
    <w:name w:val="blk"/>
    <w:rsid w:val="00B8502C"/>
  </w:style>
  <w:style w:type="character" w:styleId="a4">
    <w:name w:val="Strong"/>
    <w:uiPriority w:val="22"/>
    <w:qFormat/>
    <w:rsid w:val="00B8502C"/>
    <w:rPr>
      <w:b/>
      <w:bCs/>
    </w:rPr>
  </w:style>
  <w:style w:type="paragraph" w:customStyle="1" w:styleId="a5">
    <w:name w:val="Заголовок статьи"/>
    <w:basedOn w:val="a"/>
    <w:next w:val="a"/>
    <w:uiPriority w:val="99"/>
    <w:rsid w:val="00B8502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B850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B850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0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aliases w:val="Верхний колонтитул1"/>
    <w:basedOn w:val="a"/>
    <w:link w:val="ab"/>
    <w:uiPriority w:val="99"/>
    <w:unhideWhenUsed/>
    <w:rsid w:val="00B8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aliases w:val="Верхний колонтитул1 Знак"/>
    <w:basedOn w:val="a0"/>
    <w:link w:val="aa"/>
    <w:uiPriority w:val="99"/>
    <w:rsid w:val="00B8502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8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02C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B85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B8502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8502C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B8502C"/>
    <w:rPr>
      <w:vertAlign w:val="superscript"/>
    </w:rPr>
  </w:style>
  <w:style w:type="paragraph" w:styleId="af2">
    <w:name w:val="Title"/>
    <w:basedOn w:val="a"/>
    <w:next w:val="a"/>
    <w:link w:val="af3"/>
    <w:uiPriority w:val="10"/>
    <w:qFormat/>
    <w:rsid w:val="00B850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B8502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850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B8502C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6565&amp;dst=100006" TargetMode="External"/><Relationship Id="rId13" Type="http://schemas.openxmlformats.org/officeDocument/2006/relationships/hyperlink" Target="https://login.consultant.ru/link/?req=doc&amp;base=RLAW086&amp;n=141621&amp;dst=100006" TargetMode="External"/><Relationship Id="rId18" Type="http://schemas.openxmlformats.org/officeDocument/2006/relationships/hyperlink" Target="https://login.consultant.ru/link/?req=doc&amp;base=LAW&amp;n=45432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44472&amp;dst=100015" TargetMode="External"/><Relationship Id="rId7" Type="http://schemas.openxmlformats.org/officeDocument/2006/relationships/hyperlink" Target="https://login.consultant.ru/link/?req=doc&amp;base=RLAW086&amp;n=124693&amp;dst=100006" TargetMode="External"/><Relationship Id="rId12" Type="http://schemas.openxmlformats.org/officeDocument/2006/relationships/hyperlink" Target="https://login.consultant.ru/link/?req=doc&amp;base=RLAW086&amp;n=138473&amp;dst=100006" TargetMode="External"/><Relationship Id="rId17" Type="http://schemas.openxmlformats.org/officeDocument/2006/relationships/hyperlink" Target="https://login.consultant.ru/link/?req=doc&amp;base=LAW&amp;n=470713&amp;dst=250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48125&amp;dst=100006" TargetMode="External"/><Relationship Id="rId20" Type="http://schemas.openxmlformats.org/officeDocument/2006/relationships/hyperlink" Target="https://login.consultant.ru/link/?req=doc&amp;base=RLAW086&amp;n=14660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32251&amp;dst=100006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48125&amp;dst=100006" TargetMode="External"/><Relationship Id="rId23" Type="http://schemas.openxmlformats.org/officeDocument/2006/relationships/hyperlink" Target="https://login.consultant.ru/link/?req=doc&amp;base=RLAW086&amp;n=119658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86&amp;n=131014&amp;dst=100006" TargetMode="External"/><Relationship Id="rId19" Type="http://schemas.openxmlformats.org/officeDocument/2006/relationships/hyperlink" Target="https://login.consultant.ru/link/?req=doc&amp;base=RLAW086&amp;n=1223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27795&amp;dst=100006" TargetMode="External"/><Relationship Id="rId14" Type="http://schemas.openxmlformats.org/officeDocument/2006/relationships/hyperlink" Target="https://login.consultant.ru/link/?req=doc&amp;base=RLAW086&amp;n=148125&amp;dst=100006" TargetMode="External"/><Relationship Id="rId22" Type="http://schemas.openxmlformats.org/officeDocument/2006/relationships/hyperlink" Target="https://login.consultant.ru/link/?req=doc&amp;base=RLAW086&amp;n=121112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5229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2025-04-01T14:00:00Z</dcterms:created>
  <dcterms:modified xsi:type="dcterms:W3CDTF">2025-04-01T14:00:00Z</dcterms:modified>
</cp:coreProperties>
</file>