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86" w:rsidRDefault="00F4358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43586" w:rsidRDefault="00F43586">
      <w:pPr>
        <w:pStyle w:val="ConsPlusNormal"/>
        <w:jc w:val="both"/>
        <w:outlineLvl w:val="0"/>
      </w:pPr>
    </w:p>
    <w:p w:rsidR="00F43586" w:rsidRDefault="00F43586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F43586" w:rsidRDefault="00F43586">
      <w:pPr>
        <w:pStyle w:val="ConsPlusTitle"/>
        <w:jc w:val="center"/>
      </w:pPr>
      <w:r>
        <w:t>ЯРОСЛАВСКОЙ ОБЛАСТИ</w:t>
      </w:r>
    </w:p>
    <w:p w:rsidR="00F43586" w:rsidRDefault="00F43586">
      <w:pPr>
        <w:pStyle w:val="ConsPlusTitle"/>
        <w:jc w:val="center"/>
      </w:pPr>
    </w:p>
    <w:p w:rsidR="00F43586" w:rsidRDefault="00F43586">
      <w:pPr>
        <w:pStyle w:val="ConsPlusTitle"/>
        <w:jc w:val="center"/>
      </w:pPr>
      <w:r>
        <w:t>ПОСТАНОВЛЕНИЕ</w:t>
      </w:r>
    </w:p>
    <w:p w:rsidR="00F43586" w:rsidRDefault="00F43586">
      <w:pPr>
        <w:pStyle w:val="ConsPlusTitle"/>
        <w:jc w:val="center"/>
      </w:pPr>
      <w:r>
        <w:t>от 26 августа 2020 г. N 1916</w:t>
      </w:r>
    </w:p>
    <w:p w:rsidR="00F43586" w:rsidRDefault="00F43586">
      <w:pPr>
        <w:pStyle w:val="ConsPlusTitle"/>
        <w:jc w:val="center"/>
      </w:pPr>
    </w:p>
    <w:p w:rsidR="00F43586" w:rsidRDefault="00F43586">
      <w:pPr>
        <w:pStyle w:val="ConsPlusTitle"/>
        <w:jc w:val="center"/>
      </w:pPr>
      <w:r>
        <w:t>ОБ УТВЕРЖДЕНИИ МУНИЦИПАЛЬНОЙ ПРОГРАММЫ "ЭНЕРГОЭФФЕКТИВНОСТЬ</w:t>
      </w:r>
    </w:p>
    <w:p w:rsidR="00F43586" w:rsidRDefault="00F43586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F43586" w:rsidRDefault="00F435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35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586" w:rsidRDefault="00F435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586" w:rsidRDefault="00F435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3586" w:rsidRDefault="00F435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3586" w:rsidRDefault="00F4358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F43586" w:rsidRDefault="00F435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29.01.2021 </w:t>
            </w:r>
            <w:hyperlink r:id="rId5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27.08.2021 </w:t>
            </w:r>
            <w:hyperlink r:id="rId6">
              <w:r>
                <w:rPr>
                  <w:color w:val="0000FF"/>
                </w:rPr>
                <w:t>N 2102</w:t>
              </w:r>
            </w:hyperlink>
            <w:r>
              <w:rPr>
                <w:color w:val="392C69"/>
              </w:rPr>
              <w:t xml:space="preserve">, от 19.05.2022 </w:t>
            </w:r>
            <w:hyperlink r:id="rId7">
              <w:r>
                <w:rPr>
                  <w:color w:val="0000FF"/>
                </w:rPr>
                <w:t>N 2304</w:t>
              </w:r>
            </w:hyperlink>
            <w:r>
              <w:rPr>
                <w:color w:val="392C69"/>
              </w:rPr>
              <w:t>,</w:t>
            </w:r>
          </w:p>
          <w:p w:rsidR="00F43586" w:rsidRDefault="00F435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11.11.2022 </w:t>
            </w:r>
            <w:hyperlink r:id="rId8">
              <w:r>
                <w:rPr>
                  <w:color w:val="0000FF"/>
                </w:rPr>
                <w:t>N 4475</w:t>
              </w:r>
            </w:hyperlink>
            <w:r>
              <w:rPr>
                <w:color w:val="392C69"/>
              </w:rPr>
              <w:t xml:space="preserve">, от 20.04.2023 </w:t>
            </w:r>
            <w:hyperlink r:id="rId9">
              <w:r>
                <w:rPr>
                  <w:color w:val="0000FF"/>
                </w:rPr>
                <w:t>N 571</w:t>
              </w:r>
            </w:hyperlink>
            <w:r>
              <w:rPr>
                <w:color w:val="392C69"/>
              </w:rPr>
              <w:t xml:space="preserve">, от 19.09.2023 </w:t>
            </w:r>
            <w:hyperlink r:id="rId10">
              <w:r>
                <w:rPr>
                  <w:color w:val="0000FF"/>
                </w:rPr>
                <w:t>N 1287</w:t>
              </w:r>
            </w:hyperlink>
            <w:r>
              <w:rPr>
                <w:color w:val="392C69"/>
              </w:rPr>
              <w:t>,</w:t>
            </w:r>
          </w:p>
          <w:p w:rsidR="00F43586" w:rsidRDefault="00F435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19.04.2024 </w:t>
            </w:r>
            <w:hyperlink r:id="rId11">
              <w:r>
                <w:rPr>
                  <w:color w:val="0000FF"/>
                </w:rPr>
                <w:t>N 423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586" w:rsidRDefault="00F43586">
            <w:pPr>
              <w:pStyle w:val="ConsPlusNormal"/>
            </w:pPr>
          </w:p>
        </w:tc>
      </w:tr>
    </w:tbl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3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4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 1727 "О программах городского округа город Рыбинск", в целях реализации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руководствуясь </w:t>
      </w:r>
      <w:hyperlink r:id="rId17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ind w:firstLine="540"/>
        <w:jc w:val="both"/>
      </w:pPr>
      <w:r>
        <w:t>ПОСТАНОВЛЯЮ: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5">
        <w:r>
          <w:rPr>
            <w:color w:val="0000FF"/>
          </w:rPr>
          <w:t>программу</w:t>
        </w:r>
      </w:hyperlink>
      <w:r>
        <w:t xml:space="preserve"> "Энергоэффективность в городском округе город Рыбинск Ярославской области" согласно приложению.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01.10.2019 N 2575 "Об утверждении муниципальной программы "Энергоэффективность в городском округе город Рыбинск".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ind w:firstLine="540"/>
        <w:jc w:val="both"/>
      </w:pPr>
      <w:r>
        <w:t>3. Настоящее постановление вступает в силу со дня подписания.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ind w:firstLine="540"/>
        <w:jc w:val="both"/>
      </w:pPr>
      <w:r>
        <w:t>4. Настоящее постановление опубликовать в средствах массовой информации, разместить на официальном сайте Администрации городского округа город Рыбинск.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заместителя Главы Администрации по городскому хозяйству.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jc w:val="right"/>
      </w:pPr>
      <w:r>
        <w:t>Глава</w:t>
      </w:r>
    </w:p>
    <w:p w:rsidR="00F43586" w:rsidRDefault="00F43586">
      <w:pPr>
        <w:pStyle w:val="ConsPlusNormal"/>
        <w:jc w:val="right"/>
      </w:pPr>
      <w:r>
        <w:t>городского округа</w:t>
      </w:r>
    </w:p>
    <w:p w:rsidR="00F43586" w:rsidRDefault="00F43586">
      <w:pPr>
        <w:pStyle w:val="ConsPlusNormal"/>
        <w:jc w:val="right"/>
      </w:pPr>
      <w:r>
        <w:t>город Рыбинск</w:t>
      </w:r>
    </w:p>
    <w:p w:rsidR="00F43586" w:rsidRDefault="00F43586">
      <w:pPr>
        <w:pStyle w:val="ConsPlusNormal"/>
        <w:jc w:val="right"/>
      </w:pPr>
      <w:r>
        <w:t>Д.В.ДОБРЯКОВ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jc w:val="right"/>
        <w:outlineLvl w:val="0"/>
      </w:pPr>
      <w:r>
        <w:t>Приложение</w:t>
      </w:r>
    </w:p>
    <w:p w:rsidR="00F43586" w:rsidRDefault="00F43586">
      <w:pPr>
        <w:pStyle w:val="ConsPlusNormal"/>
        <w:jc w:val="right"/>
      </w:pPr>
      <w:r>
        <w:t>к постановлению</w:t>
      </w:r>
    </w:p>
    <w:p w:rsidR="00F43586" w:rsidRDefault="00F43586">
      <w:pPr>
        <w:pStyle w:val="ConsPlusNormal"/>
        <w:jc w:val="right"/>
      </w:pPr>
      <w:r>
        <w:t>Администрации городского</w:t>
      </w:r>
    </w:p>
    <w:p w:rsidR="00F43586" w:rsidRDefault="00F43586">
      <w:pPr>
        <w:pStyle w:val="ConsPlusNormal"/>
        <w:jc w:val="right"/>
      </w:pPr>
      <w:r>
        <w:t>округа город Рыбинск</w:t>
      </w:r>
    </w:p>
    <w:p w:rsidR="00F43586" w:rsidRDefault="00F43586">
      <w:pPr>
        <w:pStyle w:val="ConsPlusNormal"/>
        <w:jc w:val="right"/>
      </w:pPr>
      <w:r>
        <w:t>Ярославской области</w:t>
      </w:r>
    </w:p>
    <w:p w:rsidR="00F43586" w:rsidRDefault="00F43586">
      <w:pPr>
        <w:pStyle w:val="ConsPlusNormal"/>
        <w:jc w:val="right"/>
      </w:pPr>
      <w:r>
        <w:t>от 26.08.2020 N 1916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Title"/>
        <w:jc w:val="center"/>
      </w:pPr>
      <w:bookmarkStart w:id="0" w:name="P45"/>
      <w:bookmarkEnd w:id="0"/>
      <w:r>
        <w:t>МУНИЦИПАЛЬНАЯ ПРОГРАММА</w:t>
      </w:r>
    </w:p>
    <w:p w:rsidR="00F43586" w:rsidRDefault="00F43586">
      <w:pPr>
        <w:pStyle w:val="ConsPlusTitle"/>
        <w:jc w:val="center"/>
      </w:pPr>
      <w:r>
        <w:t>"ЭНЕРГОЭФФЕКТИВНОСТЬ В ГОРОДСКОМ ОКРУГЕ</w:t>
      </w:r>
    </w:p>
    <w:p w:rsidR="00F43586" w:rsidRDefault="00F43586">
      <w:pPr>
        <w:pStyle w:val="ConsPlusTitle"/>
        <w:jc w:val="center"/>
      </w:pPr>
      <w:r>
        <w:t>ГОРОД РЫБИНСК ЯРОСЛАВСКОЙ ОБЛАСТИ"</w:t>
      </w:r>
    </w:p>
    <w:p w:rsidR="00F43586" w:rsidRDefault="00F435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35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586" w:rsidRDefault="00F435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586" w:rsidRDefault="00F435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3586" w:rsidRDefault="00F435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3586" w:rsidRDefault="00F4358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F43586" w:rsidRDefault="00F43586">
            <w:pPr>
              <w:pStyle w:val="ConsPlusNormal"/>
              <w:jc w:val="center"/>
            </w:pPr>
            <w:r>
              <w:rPr>
                <w:color w:val="392C69"/>
              </w:rPr>
              <w:t>от 19.04.2024 N 423)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586" w:rsidRDefault="00F43586">
            <w:pPr>
              <w:pStyle w:val="ConsPlusNormal"/>
            </w:pPr>
          </w:p>
        </w:tc>
      </w:tr>
    </w:tbl>
    <w:p w:rsidR="00F43586" w:rsidRDefault="00F43586">
      <w:pPr>
        <w:pStyle w:val="ConsPlusNormal"/>
        <w:jc w:val="both"/>
      </w:pPr>
    </w:p>
    <w:p w:rsidR="00F43586" w:rsidRDefault="00F43586">
      <w:pPr>
        <w:pStyle w:val="ConsPlusTitle"/>
        <w:jc w:val="center"/>
        <w:outlineLvl w:val="1"/>
      </w:pPr>
      <w:r>
        <w:t>ПАСПОРТ ПРОГРАММЫ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Cell"/>
        <w:jc w:val="both"/>
      </w:pPr>
      <w:r>
        <w:t>┌────────────────┬────────────────────────────────────────────────────────┐</w:t>
      </w:r>
    </w:p>
    <w:p w:rsidR="00F43586" w:rsidRDefault="00F43586">
      <w:pPr>
        <w:pStyle w:val="ConsPlusCell"/>
        <w:jc w:val="both"/>
      </w:pPr>
      <w:r>
        <w:t>│Наименование    │"Энергоэффективность в городском округе город Рыбинск   │</w:t>
      </w:r>
    </w:p>
    <w:p w:rsidR="00F43586" w:rsidRDefault="00F43586">
      <w:pPr>
        <w:pStyle w:val="ConsPlusCell"/>
        <w:jc w:val="both"/>
      </w:pPr>
      <w:r>
        <w:t xml:space="preserve">│муниципальной   │Ярославской области" (далее - </w:t>
      </w:r>
      <w:proofErr w:type="gramStart"/>
      <w:r>
        <w:t xml:space="preserve">Программа)   </w:t>
      </w:r>
      <w:proofErr w:type="gramEnd"/>
      <w:r>
        <w:t xml:space="preserve">             │</w:t>
      </w:r>
    </w:p>
    <w:p w:rsidR="00F43586" w:rsidRDefault="00F43586">
      <w:pPr>
        <w:pStyle w:val="ConsPlusCell"/>
        <w:jc w:val="both"/>
      </w:pPr>
      <w:r>
        <w:t>│Программы       │                                                        │</w:t>
      </w:r>
    </w:p>
    <w:p w:rsidR="00F43586" w:rsidRDefault="00F43586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F43586" w:rsidRDefault="00F43586">
      <w:pPr>
        <w:pStyle w:val="ConsPlusCell"/>
        <w:jc w:val="both"/>
      </w:pPr>
      <w:r>
        <w:t>│Сроки реализации│2023 - 2026 годы                                        │</w:t>
      </w:r>
    </w:p>
    <w:p w:rsidR="00F43586" w:rsidRDefault="00F43586">
      <w:pPr>
        <w:pStyle w:val="ConsPlusCell"/>
        <w:jc w:val="both"/>
      </w:pPr>
      <w:r>
        <w:t>│Программы       │                                                        │</w:t>
      </w:r>
    </w:p>
    <w:p w:rsidR="00F43586" w:rsidRDefault="00F43586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F43586" w:rsidRDefault="00F43586">
      <w:pPr>
        <w:pStyle w:val="ConsPlusCell"/>
        <w:jc w:val="both"/>
      </w:pPr>
      <w:r>
        <w:t xml:space="preserve">│Основания для   │- 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от 23.11.2009 N 261-ФЗ "Об          │</w:t>
      </w:r>
    </w:p>
    <w:p w:rsidR="00F43586" w:rsidRDefault="00F43586">
      <w:pPr>
        <w:pStyle w:val="ConsPlusCell"/>
        <w:jc w:val="both"/>
      </w:pPr>
      <w:r>
        <w:t>│разработки      │энергосбережении и о повышении энергетической           │</w:t>
      </w:r>
    </w:p>
    <w:p w:rsidR="00F43586" w:rsidRDefault="00F43586">
      <w:pPr>
        <w:pStyle w:val="ConsPlusCell"/>
        <w:jc w:val="both"/>
      </w:pPr>
      <w:r>
        <w:t>│Программы       │эффективности и о внесении изменений в отдельные        │</w:t>
      </w:r>
    </w:p>
    <w:p w:rsidR="00F43586" w:rsidRDefault="00F43586">
      <w:pPr>
        <w:pStyle w:val="ConsPlusCell"/>
        <w:jc w:val="both"/>
      </w:pPr>
      <w:r>
        <w:t>│                │законодательные акты Российской Федерации</w:t>
      </w:r>
      <w:proofErr w:type="gramStart"/>
      <w:r>
        <w:t xml:space="preserve">";   </w:t>
      </w:r>
      <w:proofErr w:type="gramEnd"/>
      <w:r>
        <w:t xml:space="preserve">          │</w:t>
      </w:r>
    </w:p>
    <w:p w:rsidR="00F43586" w:rsidRDefault="00F43586">
      <w:pPr>
        <w:pStyle w:val="ConsPlusCell"/>
        <w:jc w:val="both"/>
      </w:pPr>
      <w:r>
        <w:t xml:space="preserve">│                │- </w:t>
      </w:r>
      <w:hyperlink r:id="rId21">
        <w:r>
          <w:rPr>
            <w:color w:val="0000FF"/>
          </w:rPr>
          <w:t>Указ</w:t>
        </w:r>
      </w:hyperlink>
      <w:r>
        <w:t xml:space="preserve"> Президента РФ от 04.06.2008 N 889 "О некоторых   │</w:t>
      </w:r>
    </w:p>
    <w:p w:rsidR="00F43586" w:rsidRDefault="00F43586">
      <w:pPr>
        <w:pStyle w:val="ConsPlusCell"/>
        <w:jc w:val="both"/>
      </w:pPr>
      <w:r>
        <w:t>│                │мерах по повышению энергетической и экологической       │</w:t>
      </w:r>
    </w:p>
    <w:p w:rsidR="00F43586" w:rsidRDefault="00F43586">
      <w:pPr>
        <w:pStyle w:val="ConsPlusCell"/>
        <w:jc w:val="both"/>
      </w:pPr>
      <w:r>
        <w:t>│                │эффективности российской экономики</w:t>
      </w:r>
      <w:proofErr w:type="gramStart"/>
      <w:r>
        <w:t xml:space="preserve">";   </w:t>
      </w:r>
      <w:proofErr w:type="gramEnd"/>
      <w:r>
        <w:t xml:space="preserve">                 │</w:t>
      </w:r>
    </w:p>
    <w:p w:rsidR="00F43586" w:rsidRDefault="00F43586">
      <w:pPr>
        <w:pStyle w:val="ConsPlusCell"/>
        <w:jc w:val="both"/>
      </w:pPr>
      <w:r>
        <w:t xml:space="preserve">│                │-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  │</w:t>
      </w:r>
    </w:p>
    <w:p w:rsidR="00F43586" w:rsidRDefault="00F43586">
      <w:pPr>
        <w:pStyle w:val="ConsPlusCell"/>
        <w:jc w:val="both"/>
      </w:pPr>
      <w:r>
        <w:t>│                │11.02.2021 N 161 "Об утверждении требований к           │</w:t>
      </w:r>
    </w:p>
    <w:p w:rsidR="00F43586" w:rsidRDefault="00F43586">
      <w:pPr>
        <w:pStyle w:val="ConsPlusCell"/>
        <w:jc w:val="both"/>
      </w:pPr>
      <w:r>
        <w:t>│                │региональным и муниципальным программам в области       │</w:t>
      </w:r>
    </w:p>
    <w:p w:rsidR="00F43586" w:rsidRDefault="00F43586">
      <w:pPr>
        <w:pStyle w:val="ConsPlusCell"/>
        <w:jc w:val="both"/>
      </w:pPr>
      <w:r>
        <w:t>│                │энергосбережения и повышения энергетической             │</w:t>
      </w:r>
    </w:p>
    <w:p w:rsidR="00F43586" w:rsidRDefault="00F43586">
      <w:pPr>
        <w:pStyle w:val="ConsPlusCell"/>
        <w:jc w:val="both"/>
      </w:pPr>
      <w:r>
        <w:t xml:space="preserve">│                │эффективности и о признании утратившими силу </w:t>
      </w:r>
      <w:proofErr w:type="gramStart"/>
      <w:r>
        <w:t>некоторых  │</w:t>
      </w:r>
      <w:proofErr w:type="gramEnd"/>
    </w:p>
    <w:p w:rsidR="00F43586" w:rsidRDefault="00F43586">
      <w:pPr>
        <w:pStyle w:val="ConsPlusCell"/>
        <w:jc w:val="both"/>
      </w:pPr>
      <w:r>
        <w:t>│                │актов Правительства Российской Федерации и отдельных    │</w:t>
      </w:r>
    </w:p>
    <w:p w:rsidR="00F43586" w:rsidRDefault="00F43586">
      <w:pPr>
        <w:pStyle w:val="ConsPlusCell"/>
        <w:jc w:val="both"/>
      </w:pPr>
      <w:r>
        <w:t>│                │положений некоторых актов Правительства Российской      │</w:t>
      </w:r>
    </w:p>
    <w:p w:rsidR="00F43586" w:rsidRDefault="00F43586">
      <w:pPr>
        <w:pStyle w:val="ConsPlusCell"/>
        <w:jc w:val="both"/>
      </w:pPr>
      <w:r>
        <w:t>│           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│</w:t>
      </w:r>
    </w:p>
    <w:p w:rsidR="00F43586" w:rsidRDefault="00F43586">
      <w:pPr>
        <w:pStyle w:val="ConsPlusCell"/>
        <w:jc w:val="both"/>
      </w:pPr>
      <w:r>
        <w:t xml:space="preserve">│                │- </w:t>
      </w:r>
      <w:hyperlink r:id="rId23">
        <w:r>
          <w:rPr>
            <w:color w:val="0000FF"/>
          </w:rPr>
          <w:t>приказ</w:t>
        </w:r>
      </w:hyperlink>
      <w:r>
        <w:t xml:space="preserve"> Министерства экономического развития Российской│</w:t>
      </w:r>
    </w:p>
    <w:p w:rsidR="00F43586" w:rsidRDefault="00F43586">
      <w:pPr>
        <w:pStyle w:val="ConsPlusCell"/>
        <w:jc w:val="both"/>
      </w:pPr>
      <w:r>
        <w:t>│                │Федерации от 17.02.2010 N 61 "Об утверждении примерного │</w:t>
      </w:r>
    </w:p>
    <w:p w:rsidR="00F43586" w:rsidRDefault="00F43586">
      <w:pPr>
        <w:pStyle w:val="ConsPlusCell"/>
        <w:jc w:val="both"/>
      </w:pPr>
      <w:r>
        <w:t>│                │перечня мероприятий в области энергосбережения и        │</w:t>
      </w:r>
    </w:p>
    <w:p w:rsidR="00F43586" w:rsidRDefault="00F43586">
      <w:pPr>
        <w:pStyle w:val="ConsPlusCell"/>
        <w:jc w:val="both"/>
      </w:pPr>
      <w:r>
        <w:t>│                │повышения энергетической эффективности, который может   │</w:t>
      </w:r>
    </w:p>
    <w:p w:rsidR="00F43586" w:rsidRDefault="00F43586">
      <w:pPr>
        <w:pStyle w:val="ConsPlusCell"/>
        <w:jc w:val="both"/>
      </w:pPr>
      <w:r>
        <w:t xml:space="preserve">│                │быть использован в целях разработки </w:t>
      </w:r>
      <w:proofErr w:type="gramStart"/>
      <w:r>
        <w:t xml:space="preserve">региональных,   </w:t>
      </w:r>
      <w:proofErr w:type="gramEnd"/>
      <w:r>
        <w:t xml:space="preserve">    │</w:t>
      </w:r>
    </w:p>
    <w:p w:rsidR="00F43586" w:rsidRDefault="00F43586">
      <w:pPr>
        <w:pStyle w:val="ConsPlusCell"/>
        <w:jc w:val="both"/>
      </w:pPr>
      <w:r>
        <w:t>│                │муниципальных программ в области энергосбережения и     │</w:t>
      </w:r>
    </w:p>
    <w:p w:rsidR="00F43586" w:rsidRDefault="00F43586">
      <w:pPr>
        <w:pStyle w:val="ConsPlusCell"/>
        <w:jc w:val="both"/>
      </w:pPr>
      <w:r>
        <w:t>│                │повышения энергетической эффективности</w:t>
      </w:r>
      <w:proofErr w:type="gramStart"/>
      <w:r>
        <w:t xml:space="preserve">";   </w:t>
      </w:r>
      <w:proofErr w:type="gramEnd"/>
      <w:r>
        <w:t xml:space="preserve">             │</w:t>
      </w:r>
    </w:p>
    <w:p w:rsidR="00F43586" w:rsidRDefault="00F43586">
      <w:pPr>
        <w:pStyle w:val="ConsPlusCell"/>
        <w:jc w:val="both"/>
      </w:pPr>
      <w:r>
        <w:t xml:space="preserve">│                │- </w:t>
      </w:r>
      <w:hyperlink r:id="rId24">
        <w:r>
          <w:rPr>
            <w:color w:val="0000FF"/>
          </w:rPr>
          <w:t>приказ</w:t>
        </w:r>
      </w:hyperlink>
      <w:r>
        <w:t xml:space="preserve"> Министерства экономического развития Российской│</w:t>
      </w:r>
    </w:p>
    <w:p w:rsidR="00F43586" w:rsidRDefault="00F43586">
      <w:pPr>
        <w:pStyle w:val="ConsPlusCell"/>
        <w:jc w:val="both"/>
      </w:pPr>
      <w:r>
        <w:t xml:space="preserve">│                │Федерации от 28.04.2021 N 231 "Об утверждении </w:t>
      </w:r>
      <w:proofErr w:type="gramStart"/>
      <w:r>
        <w:t>методики  │</w:t>
      </w:r>
      <w:proofErr w:type="gramEnd"/>
    </w:p>
    <w:p w:rsidR="00F43586" w:rsidRDefault="00F43586">
      <w:pPr>
        <w:pStyle w:val="ConsPlusCell"/>
        <w:jc w:val="both"/>
      </w:pPr>
      <w:r>
        <w:t>│                │расчета значений целевых показателей в области          │</w:t>
      </w:r>
    </w:p>
    <w:p w:rsidR="00F43586" w:rsidRDefault="00F43586">
      <w:pPr>
        <w:pStyle w:val="ConsPlusCell"/>
        <w:jc w:val="both"/>
      </w:pPr>
      <w:r>
        <w:t>│                │энергосбережения и повышения энергетической             │</w:t>
      </w:r>
    </w:p>
    <w:p w:rsidR="00F43586" w:rsidRDefault="00F43586">
      <w:pPr>
        <w:pStyle w:val="ConsPlusCell"/>
        <w:jc w:val="both"/>
      </w:pPr>
      <w:r>
        <w:t>│                │эффективности, достижение которых обеспечивается в      │</w:t>
      </w:r>
    </w:p>
    <w:p w:rsidR="00F43586" w:rsidRDefault="00F43586">
      <w:pPr>
        <w:pStyle w:val="ConsPlusCell"/>
        <w:jc w:val="both"/>
      </w:pPr>
      <w:r>
        <w:t>│                │результате реализации региональных и муниципальных      │</w:t>
      </w:r>
    </w:p>
    <w:p w:rsidR="00F43586" w:rsidRDefault="00F43586">
      <w:pPr>
        <w:pStyle w:val="ConsPlusCell"/>
        <w:jc w:val="both"/>
      </w:pPr>
      <w:r>
        <w:t>│                │программ в области энергосбережения и повышения         │</w:t>
      </w:r>
    </w:p>
    <w:p w:rsidR="00F43586" w:rsidRDefault="00F43586">
      <w:pPr>
        <w:pStyle w:val="ConsPlusCell"/>
        <w:jc w:val="both"/>
      </w:pPr>
      <w:r>
        <w:t>│                │энергетической эффективности</w:t>
      </w:r>
      <w:proofErr w:type="gramStart"/>
      <w:r>
        <w:t xml:space="preserve">";   </w:t>
      </w:r>
      <w:proofErr w:type="gramEnd"/>
      <w:r>
        <w:t xml:space="preserve">                       │</w:t>
      </w:r>
    </w:p>
    <w:p w:rsidR="00F43586" w:rsidRDefault="00F43586">
      <w:pPr>
        <w:pStyle w:val="ConsPlusCell"/>
        <w:jc w:val="both"/>
      </w:pPr>
      <w:r>
        <w:t xml:space="preserve">│                │- </w:t>
      </w:r>
      <w:hyperlink r:id="rId25">
        <w:r>
          <w:rPr>
            <w:color w:val="0000FF"/>
          </w:rPr>
          <w:t>Закон</w:t>
        </w:r>
      </w:hyperlink>
      <w:r>
        <w:t xml:space="preserve"> Ярославской области от 05.10.2011 N 33-з "Об    │</w:t>
      </w:r>
    </w:p>
    <w:p w:rsidR="00F43586" w:rsidRDefault="00F43586">
      <w:pPr>
        <w:pStyle w:val="ConsPlusCell"/>
        <w:jc w:val="both"/>
      </w:pPr>
      <w:r>
        <w:t>│                │энергосбережении и о повышении энергетической           │</w:t>
      </w:r>
    </w:p>
    <w:p w:rsidR="00F43586" w:rsidRDefault="00F43586">
      <w:pPr>
        <w:pStyle w:val="ConsPlusCell"/>
        <w:jc w:val="both"/>
      </w:pPr>
      <w:r>
        <w:t>│                │эффективности в Ярославской области</w:t>
      </w:r>
      <w:proofErr w:type="gramStart"/>
      <w:r>
        <w:t xml:space="preserve">";   </w:t>
      </w:r>
      <w:proofErr w:type="gramEnd"/>
      <w:r>
        <w:t xml:space="preserve">                │</w:t>
      </w:r>
    </w:p>
    <w:p w:rsidR="00F43586" w:rsidRDefault="00F43586">
      <w:pPr>
        <w:pStyle w:val="ConsPlusCell"/>
        <w:jc w:val="both"/>
      </w:pPr>
      <w:r>
        <w:lastRenderedPageBreak/>
        <w:t xml:space="preserve">│                │-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│</w:t>
      </w:r>
    </w:p>
    <w:p w:rsidR="00F43586" w:rsidRDefault="00F43586">
      <w:pPr>
        <w:pStyle w:val="ConsPlusCell"/>
        <w:jc w:val="both"/>
      </w:pPr>
      <w:r>
        <w:t>│                │30.03.2021 N 172-п "Об утверждении государственной      │</w:t>
      </w:r>
    </w:p>
    <w:p w:rsidR="00F43586" w:rsidRDefault="00F43586">
      <w:pPr>
        <w:pStyle w:val="ConsPlusCell"/>
        <w:jc w:val="both"/>
      </w:pPr>
      <w:r>
        <w:t>│                │программы Ярославской области "Энергоэффективность и    │</w:t>
      </w:r>
    </w:p>
    <w:p w:rsidR="00F43586" w:rsidRDefault="00F43586">
      <w:pPr>
        <w:pStyle w:val="ConsPlusCell"/>
        <w:jc w:val="both"/>
      </w:pPr>
      <w:r>
        <w:t>│                │развитие энергетики в Ярославской области" на 2021 -    │</w:t>
      </w:r>
    </w:p>
    <w:p w:rsidR="00F43586" w:rsidRDefault="00F43586">
      <w:pPr>
        <w:pStyle w:val="ConsPlusCell"/>
        <w:jc w:val="both"/>
      </w:pPr>
      <w:r>
        <w:t>│                │2025 годы</w:t>
      </w:r>
      <w:proofErr w:type="gramStart"/>
      <w:r>
        <w:t xml:space="preserve">";   </w:t>
      </w:r>
      <w:proofErr w:type="gramEnd"/>
      <w:r>
        <w:t xml:space="preserve">                                          │</w:t>
      </w:r>
    </w:p>
    <w:p w:rsidR="00F43586" w:rsidRDefault="00F43586">
      <w:pPr>
        <w:pStyle w:val="ConsPlusCell"/>
        <w:jc w:val="both"/>
      </w:pPr>
      <w:r>
        <w:t xml:space="preserve">│                │- </w:t>
      </w:r>
      <w:hyperlink r:id="rId27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│</w:t>
      </w:r>
    </w:p>
    <w:p w:rsidR="00F43586" w:rsidRDefault="00F43586">
      <w:pPr>
        <w:pStyle w:val="ConsPlusCell"/>
        <w:jc w:val="both"/>
      </w:pPr>
      <w:r>
        <w:t>│                │Рыбинск от 19.12.2019 N 98 "О принятии Устава городского│</w:t>
      </w:r>
    </w:p>
    <w:p w:rsidR="00F43586" w:rsidRDefault="00F43586">
      <w:pPr>
        <w:pStyle w:val="ConsPlusCell"/>
        <w:jc w:val="both"/>
      </w:pPr>
      <w:r>
        <w:t>│                │округа город Рыбинск Ярославской области"               │</w:t>
      </w:r>
    </w:p>
    <w:p w:rsidR="00F43586" w:rsidRDefault="00F43586">
      <w:pPr>
        <w:pStyle w:val="ConsPlusCell"/>
        <w:jc w:val="both"/>
      </w:pPr>
      <w:r>
        <w:t>│                ├────────────────────────────────────────────────────────┤</w:t>
      </w:r>
    </w:p>
    <w:p w:rsidR="00F43586" w:rsidRDefault="00F43586">
      <w:pPr>
        <w:pStyle w:val="ConsPlusCell"/>
        <w:jc w:val="both"/>
      </w:pPr>
      <w:r>
        <w:t xml:space="preserve">│                │- </w:t>
      </w:r>
      <w:hyperlink r:id="rId2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│</w:t>
      </w:r>
    </w:p>
    <w:p w:rsidR="00F43586" w:rsidRDefault="00F43586">
      <w:pPr>
        <w:pStyle w:val="ConsPlusCell"/>
        <w:jc w:val="both"/>
      </w:pPr>
      <w:r>
        <w:t>│                │Рыбинск Ярославской области от 08.06.2020 N 1306 "О     │</w:t>
      </w:r>
    </w:p>
    <w:p w:rsidR="00F43586" w:rsidRDefault="00F43586">
      <w:pPr>
        <w:pStyle w:val="ConsPlusCell"/>
        <w:jc w:val="both"/>
      </w:pPr>
      <w:r>
        <w:t>│                │муниципальных программах</w:t>
      </w:r>
      <w:proofErr w:type="gramStart"/>
      <w:r>
        <w:t xml:space="preserve">";   </w:t>
      </w:r>
      <w:proofErr w:type="gramEnd"/>
      <w:r>
        <w:t xml:space="preserve">                           │</w:t>
      </w:r>
    </w:p>
    <w:p w:rsidR="00F43586" w:rsidRDefault="00F43586">
      <w:pPr>
        <w:pStyle w:val="ConsPlusCell"/>
        <w:jc w:val="both"/>
      </w:pPr>
      <w:r>
        <w:t xml:space="preserve">│                │- </w:t>
      </w:r>
      <w:hyperlink r:id="rId2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│</w:t>
      </w:r>
    </w:p>
    <w:p w:rsidR="00F43586" w:rsidRDefault="00F43586">
      <w:pPr>
        <w:pStyle w:val="ConsPlusCell"/>
        <w:jc w:val="both"/>
      </w:pPr>
      <w:r>
        <w:t>│                │Рыбинск Ярославской области от 21.01.2021 N 139 "Об     │</w:t>
      </w:r>
    </w:p>
    <w:p w:rsidR="00F43586" w:rsidRDefault="00F43586">
      <w:pPr>
        <w:pStyle w:val="ConsPlusCell"/>
        <w:jc w:val="both"/>
      </w:pPr>
      <w:r>
        <w:t>│                │утверждении плана мероприятий</w:t>
      </w:r>
      <w:proofErr w:type="gramStart"/>
      <w:r>
        <w:t xml:space="preserve">";   </w:t>
      </w:r>
      <w:proofErr w:type="gramEnd"/>
      <w:r>
        <w:t xml:space="preserve">                      │</w:t>
      </w:r>
    </w:p>
    <w:p w:rsidR="00F43586" w:rsidRDefault="00F43586">
      <w:pPr>
        <w:pStyle w:val="ConsPlusCell"/>
        <w:jc w:val="both"/>
      </w:pPr>
      <w:r>
        <w:t xml:space="preserve">│                │- </w:t>
      </w:r>
      <w:hyperlink r:id="rId30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│</w:t>
      </w:r>
    </w:p>
    <w:p w:rsidR="00F43586" w:rsidRDefault="00F43586">
      <w:pPr>
        <w:pStyle w:val="ConsPlusCell"/>
        <w:jc w:val="both"/>
      </w:pPr>
      <w:r>
        <w:t>│                │Рыбинск от 28.03.2019 N 47 "О Стратегии социально -     │</w:t>
      </w:r>
    </w:p>
    <w:p w:rsidR="00F43586" w:rsidRDefault="00F43586">
      <w:pPr>
        <w:pStyle w:val="ConsPlusCell"/>
        <w:jc w:val="both"/>
      </w:pPr>
      <w:r>
        <w:t>│                │экономического развития городского округа город Рыбинск │</w:t>
      </w:r>
    </w:p>
    <w:p w:rsidR="00F43586" w:rsidRDefault="00F43586">
      <w:pPr>
        <w:pStyle w:val="ConsPlusCell"/>
        <w:jc w:val="both"/>
      </w:pPr>
      <w:r>
        <w:t>│                │на 2018 - 2030 годы</w:t>
      </w:r>
      <w:proofErr w:type="gramStart"/>
      <w:r>
        <w:t xml:space="preserve">";   </w:t>
      </w:r>
      <w:proofErr w:type="gramEnd"/>
      <w:r>
        <w:t xml:space="preserve">                                │</w:t>
      </w:r>
    </w:p>
    <w:p w:rsidR="00F43586" w:rsidRDefault="00F43586">
      <w:pPr>
        <w:pStyle w:val="ConsPlusCell"/>
        <w:jc w:val="both"/>
      </w:pPr>
      <w:r>
        <w:t xml:space="preserve">│                │- приказ департамента жилищно-коммунального </w:t>
      </w:r>
      <w:proofErr w:type="gramStart"/>
      <w:r>
        <w:t>хозяйства,  │</w:t>
      </w:r>
      <w:proofErr w:type="gramEnd"/>
    </w:p>
    <w:p w:rsidR="00F43586" w:rsidRDefault="00F43586">
      <w:pPr>
        <w:pStyle w:val="ConsPlusCell"/>
        <w:jc w:val="both"/>
      </w:pPr>
      <w:r>
        <w:t xml:space="preserve">│                │энергетики и регулирования тарифов Ярославской </w:t>
      </w:r>
      <w:proofErr w:type="gramStart"/>
      <w:r>
        <w:t>области  │</w:t>
      </w:r>
      <w:proofErr w:type="gramEnd"/>
    </w:p>
    <w:p w:rsidR="00F43586" w:rsidRDefault="00F43586">
      <w:pPr>
        <w:pStyle w:val="ConsPlusCell"/>
        <w:jc w:val="both"/>
      </w:pPr>
      <w:r>
        <w:t>│                │от 25.03.2021 N 46 "Об утверждении скорректированной    │</w:t>
      </w:r>
    </w:p>
    <w:p w:rsidR="00F43586" w:rsidRDefault="00F43586">
      <w:pPr>
        <w:pStyle w:val="ConsPlusCell"/>
        <w:jc w:val="both"/>
      </w:pPr>
      <w:r>
        <w:t>│                │инвестиционной программы общества с ограниченной        │</w:t>
      </w:r>
    </w:p>
    <w:p w:rsidR="00F43586" w:rsidRDefault="00F43586">
      <w:pPr>
        <w:pStyle w:val="ConsPlusCell"/>
        <w:jc w:val="both"/>
      </w:pPr>
      <w:r>
        <w:t>│                │ответственностью "Рыбинская генерация"                  │</w:t>
      </w:r>
    </w:p>
    <w:p w:rsidR="00F43586" w:rsidRDefault="00F43586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F43586" w:rsidRDefault="00F43586">
      <w:pPr>
        <w:pStyle w:val="ConsPlusCell"/>
        <w:jc w:val="both"/>
      </w:pPr>
      <w:r>
        <w:t>│Заказчик        │Администрация городского округа город Рыбинск           │</w:t>
      </w:r>
    </w:p>
    <w:p w:rsidR="00F43586" w:rsidRDefault="00F43586">
      <w:pPr>
        <w:pStyle w:val="ConsPlusCell"/>
        <w:jc w:val="both"/>
      </w:pPr>
      <w:r>
        <w:t>│Программы       │Ярославской области                                     │</w:t>
      </w:r>
    </w:p>
    <w:p w:rsidR="00F43586" w:rsidRDefault="00F43586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F43586" w:rsidRDefault="00F43586">
      <w:pPr>
        <w:pStyle w:val="ConsPlusCell"/>
        <w:jc w:val="both"/>
      </w:pPr>
      <w:r>
        <w:t>│Ответственный   │Департамент жилищно-коммунального хозяйства, транспорта │</w:t>
      </w:r>
    </w:p>
    <w:p w:rsidR="00F43586" w:rsidRDefault="00F43586">
      <w:pPr>
        <w:pStyle w:val="ConsPlusCell"/>
        <w:jc w:val="both"/>
      </w:pPr>
      <w:r>
        <w:t>│исполнитель -   │и связи Администрации городского округа город Рыбинск   │</w:t>
      </w:r>
    </w:p>
    <w:p w:rsidR="00F43586" w:rsidRDefault="00F43586">
      <w:pPr>
        <w:pStyle w:val="ConsPlusCell"/>
        <w:jc w:val="both"/>
      </w:pPr>
      <w:r>
        <w:t>│руководитель    │Ярославской области                                     │</w:t>
      </w:r>
    </w:p>
    <w:p w:rsidR="00F43586" w:rsidRDefault="00F43586">
      <w:pPr>
        <w:pStyle w:val="ConsPlusCell"/>
        <w:jc w:val="both"/>
      </w:pPr>
      <w:r>
        <w:t>│Программы       │                                                        │</w:t>
      </w:r>
    </w:p>
    <w:p w:rsidR="00F43586" w:rsidRDefault="00F43586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F43586" w:rsidRDefault="00F43586">
      <w:pPr>
        <w:pStyle w:val="ConsPlusCell"/>
        <w:jc w:val="both"/>
      </w:pPr>
      <w:r>
        <w:t>│Соисполнители   │Учреждения Департамента образования                     │</w:t>
      </w:r>
    </w:p>
    <w:p w:rsidR="00F43586" w:rsidRDefault="00F43586">
      <w:pPr>
        <w:pStyle w:val="ConsPlusCell"/>
        <w:jc w:val="both"/>
      </w:pPr>
      <w:r>
        <w:t>│Программы       │Учреждения Управления культуры                          │</w:t>
      </w:r>
    </w:p>
    <w:p w:rsidR="00F43586" w:rsidRDefault="00F43586">
      <w:pPr>
        <w:pStyle w:val="ConsPlusCell"/>
        <w:jc w:val="both"/>
      </w:pPr>
      <w:r>
        <w:t>│                │Учреждения Департамента по физической культуре и спорту │</w:t>
      </w:r>
    </w:p>
    <w:p w:rsidR="00F43586" w:rsidRDefault="00F43586">
      <w:pPr>
        <w:pStyle w:val="ConsPlusCell"/>
        <w:jc w:val="both"/>
      </w:pPr>
      <w:r>
        <w:t>│                │МКУ "</w:t>
      </w:r>
      <w:proofErr w:type="spellStart"/>
      <w:r>
        <w:t>Жилкомцентр</w:t>
      </w:r>
      <w:proofErr w:type="spellEnd"/>
      <w:r>
        <w:t>"                                       │</w:t>
      </w:r>
    </w:p>
    <w:p w:rsidR="00F43586" w:rsidRDefault="00F43586">
      <w:pPr>
        <w:pStyle w:val="ConsPlusCell"/>
        <w:jc w:val="both"/>
      </w:pPr>
      <w:r>
        <w:t>│                │ООО "Рыбинская генерация"                               │</w:t>
      </w:r>
    </w:p>
    <w:p w:rsidR="00F43586" w:rsidRDefault="00F43586">
      <w:pPr>
        <w:pStyle w:val="ConsPlusCell"/>
        <w:jc w:val="both"/>
      </w:pPr>
      <w:r>
        <w:t>│                │ГП ЯО "Северный водоканал"                              │</w:t>
      </w:r>
    </w:p>
    <w:p w:rsidR="00F43586" w:rsidRDefault="00F43586">
      <w:pPr>
        <w:pStyle w:val="ConsPlusCell"/>
        <w:jc w:val="both"/>
      </w:pPr>
      <w:r>
        <w:t>│                │Управляющие компании                                    │</w:t>
      </w:r>
    </w:p>
    <w:p w:rsidR="00F43586" w:rsidRDefault="00F43586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F43586" w:rsidRDefault="00F43586">
      <w:pPr>
        <w:pStyle w:val="ConsPlusCell"/>
        <w:jc w:val="both"/>
      </w:pPr>
      <w:r>
        <w:t>│Куратор         │Заместитель Главы Администрации по городскому хозяйству │</w:t>
      </w:r>
    </w:p>
    <w:p w:rsidR="00F43586" w:rsidRDefault="00F43586">
      <w:pPr>
        <w:pStyle w:val="ConsPlusCell"/>
        <w:jc w:val="both"/>
      </w:pPr>
      <w:r>
        <w:t>│Программы       │                                                        │</w:t>
      </w:r>
    </w:p>
    <w:p w:rsidR="00F43586" w:rsidRDefault="00F43586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F43586" w:rsidRDefault="00F43586">
      <w:pPr>
        <w:pStyle w:val="ConsPlusCell"/>
        <w:jc w:val="both"/>
      </w:pPr>
      <w:r>
        <w:t xml:space="preserve">│Цели </w:t>
      </w:r>
      <w:proofErr w:type="gramStart"/>
      <w:r>
        <w:t>Программы  │</w:t>
      </w:r>
      <w:proofErr w:type="gramEnd"/>
      <w:r>
        <w:t>Рациональное использование топливно-энергетических      │</w:t>
      </w:r>
    </w:p>
    <w:p w:rsidR="00F43586" w:rsidRDefault="00F43586">
      <w:pPr>
        <w:pStyle w:val="ConsPlusCell"/>
        <w:jc w:val="both"/>
      </w:pPr>
      <w:r>
        <w:t xml:space="preserve">│                │ресурсов, внедрение </w:t>
      </w:r>
      <w:proofErr w:type="spellStart"/>
      <w:r>
        <w:t>энерго</w:t>
      </w:r>
      <w:proofErr w:type="spellEnd"/>
      <w:r>
        <w:t>- и ресурсосберегающих        │</w:t>
      </w:r>
    </w:p>
    <w:p w:rsidR="00F43586" w:rsidRDefault="00F43586">
      <w:pPr>
        <w:pStyle w:val="ConsPlusCell"/>
        <w:jc w:val="both"/>
      </w:pPr>
      <w:r>
        <w:t>│                │технологий                                              │</w:t>
      </w:r>
    </w:p>
    <w:p w:rsidR="00F43586" w:rsidRDefault="00F43586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F43586" w:rsidRDefault="00F43586">
      <w:pPr>
        <w:pStyle w:val="ConsPlusCell"/>
        <w:jc w:val="both"/>
      </w:pPr>
      <w:r>
        <w:t xml:space="preserve">│Задачи Программы│1. Выполнение комплекса мер по повышению </w:t>
      </w:r>
      <w:proofErr w:type="gramStart"/>
      <w:r>
        <w:t>эффективности  │</w:t>
      </w:r>
      <w:proofErr w:type="gramEnd"/>
    </w:p>
    <w:p w:rsidR="00F43586" w:rsidRDefault="00F43586">
      <w:pPr>
        <w:pStyle w:val="ConsPlusCell"/>
        <w:jc w:val="both"/>
      </w:pPr>
      <w:r>
        <w:t>│                │использования энергетических ресурсов на объектах       │</w:t>
      </w:r>
    </w:p>
    <w:p w:rsidR="00F43586" w:rsidRDefault="00F43586">
      <w:pPr>
        <w:pStyle w:val="ConsPlusCell"/>
        <w:jc w:val="both"/>
      </w:pPr>
      <w:r>
        <w:t>│                │социальной сферы.                                       │</w:t>
      </w:r>
    </w:p>
    <w:p w:rsidR="00F43586" w:rsidRDefault="00F43586">
      <w:pPr>
        <w:pStyle w:val="ConsPlusCell"/>
        <w:jc w:val="both"/>
      </w:pPr>
      <w:r>
        <w:t>│                │2. Обеспечение учета используемых энергетических        │</w:t>
      </w:r>
    </w:p>
    <w:p w:rsidR="00F43586" w:rsidRDefault="00F43586">
      <w:pPr>
        <w:pStyle w:val="ConsPlusCell"/>
        <w:jc w:val="both"/>
      </w:pPr>
      <w:r>
        <w:t>│                │ресурсов и применение коллективных и индивидуальных     │</w:t>
      </w:r>
    </w:p>
    <w:p w:rsidR="00F43586" w:rsidRDefault="00F43586">
      <w:pPr>
        <w:pStyle w:val="ConsPlusCell"/>
        <w:jc w:val="both"/>
      </w:pPr>
      <w:r>
        <w:t>│                │приборов учета энергетических ресурсов при осуществлении│</w:t>
      </w:r>
    </w:p>
    <w:p w:rsidR="00F43586" w:rsidRDefault="00F43586">
      <w:pPr>
        <w:pStyle w:val="ConsPlusCell"/>
        <w:jc w:val="both"/>
      </w:pPr>
      <w:r>
        <w:t>│                │расчетов за энергетические ресурсы в многоквартирных    │</w:t>
      </w:r>
    </w:p>
    <w:p w:rsidR="00F43586" w:rsidRDefault="00F43586">
      <w:pPr>
        <w:pStyle w:val="ConsPlusCell"/>
        <w:jc w:val="both"/>
      </w:pPr>
      <w:r>
        <w:t>│                │домах.                                                  │</w:t>
      </w:r>
    </w:p>
    <w:p w:rsidR="00F43586" w:rsidRDefault="00F43586">
      <w:pPr>
        <w:pStyle w:val="ConsPlusCell"/>
        <w:jc w:val="both"/>
      </w:pPr>
      <w:r>
        <w:t>│                │3. Выполнение комплекса мер по повышению энергетической │</w:t>
      </w:r>
    </w:p>
    <w:p w:rsidR="00F43586" w:rsidRDefault="00F43586">
      <w:pPr>
        <w:pStyle w:val="ConsPlusCell"/>
        <w:jc w:val="both"/>
      </w:pPr>
      <w:r>
        <w:t>│                │эффективности в системах коммунальной инфраструктуры    │</w:t>
      </w:r>
    </w:p>
    <w:p w:rsidR="00F43586" w:rsidRDefault="00F43586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F43586" w:rsidRDefault="00F43586">
      <w:pPr>
        <w:pStyle w:val="ConsPlusCell"/>
        <w:jc w:val="both"/>
      </w:pPr>
      <w:r>
        <w:t>│Объемы и        │Общий объем финансирования (выделено/финансовая         │</w:t>
      </w:r>
    </w:p>
    <w:p w:rsidR="00F43586" w:rsidRDefault="00F43586">
      <w:pPr>
        <w:pStyle w:val="ConsPlusCell"/>
        <w:jc w:val="both"/>
      </w:pPr>
      <w:r>
        <w:t xml:space="preserve">│источники       │потребность) 13,440/604,009 млн. руб., в </w:t>
      </w:r>
      <w:proofErr w:type="spellStart"/>
      <w:r>
        <w:t>т.ч</w:t>
      </w:r>
      <w:proofErr w:type="spellEnd"/>
      <w:r>
        <w:t>.:          │</w:t>
      </w:r>
    </w:p>
    <w:p w:rsidR="00F43586" w:rsidRDefault="00F43586">
      <w:pPr>
        <w:pStyle w:val="ConsPlusCell"/>
        <w:jc w:val="both"/>
      </w:pPr>
      <w:r>
        <w:t>│</w:t>
      </w:r>
      <w:proofErr w:type="gramStart"/>
      <w:r>
        <w:t>финансирования  │</w:t>
      </w:r>
      <w:proofErr w:type="gramEnd"/>
      <w:r>
        <w:t>средства городского бюджета, млн. руб.:                 │</w:t>
      </w:r>
    </w:p>
    <w:p w:rsidR="00F43586" w:rsidRDefault="00F43586">
      <w:pPr>
        <w:pStyle w:val="ConsPlusCell"/>
        <w:jc w:val="both"/>
      </w:pPr>
      <w:r>
        <w:t>│Программы       │┌────────────┬────────────────────┬────────────────────┐│</w:t>
      </w:r>
    </w:p>
    <w:p w:rsidR="00F43586" w:rsidRDefault="00F43586">
      <w:pPr>
        <w:pStyle w:val="ConsPlusCell"/>
        <w:jc w:val="both"/>
      </w:pPr>
      <w:r>
        <w:t>│                ││            │      Выделено      │     Потребность    ││</w:t>
      </w:r>
    </w:p>
    <w:p w:rsidR="00F43586" w:rsidRDefault="00F43586">
      <w:pPr>
        <w:pStyle w:val="ConsPlusCell"/>
        <w:jc w:val="both"/>
      </w:pPr>
      <w:r>
        <w:lastRenderedPageBreak/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││2023 год    │        0,040       │       17,377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││2024 год    │        0,307       │        8,713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││2025 год    │        0,557       │        9,206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││2026 год    │        0,345       │        0,345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││Итого       │        1,249       │       35,641       ││</w:t>
      </w:r>
    </w:p>
    <w:p w:rsidR="00F43586" w:rsidRDefault="00F43586">
      <w:pPr>
        <w:pStyle w:val="ConsPlusCell"/>
        <w:jc w:val="both"/>
      </w:pPr>
      <w:r>
        <w:t>│                │└────────────┴────────────────────┴────────────────────┘│</w:t>
      </w:r>
    </w:p>
    <w:p w:rsidR="00F43586" w:rsidRDefault="00F43586">
      <w:pPr>
        <w:pStyle w:val="ConsPlusCell"/>
        <w:jc w:val="both"/>
      </w:pPr>
      <w:r>
        <w:t>│                │средства областного бюджета, млн. руб.:                 │</w:t>
      </w:r>
    </w:p>
    <w:p w:rsidR="00F43586" w:rsidRDefault="00F43586">
      <w:pPr>
        <w:pStyle w:val="ConsPlusCell"/>
        <w:jc w:val="both"/>
      </w:pPr>
      <w:r>
        <w:t>│                │┌────────────┬────────────────────┬────────────────────┐│</w:t>
      </w:r>
    </w:p>
    <w:p w:rsidR="00F43586" w:rsidRDefault="00F43586">
      <w:pPr>
        <w:pStyle w:val="ConsPlusCell"/>
        <w:jc w:val="both"/>
      </w:pPr>
      <w:r>
        <w:t>│                ││            │      Выделено      │     Потребность    ││</w:t>
      </w:r>
    </w:p>
    <w:p w:rsidR="00F43586" w:rsidRDefault="00F43586">
      <w:pPr>
        <w:pStyle w:val="ConsPlusCell"/>
        <w:jc w:val="both"/>
      </w:pPr>
      <w:r>
        <w:t>│                ││            │                    │             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││2023 год    │        0           │        0    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││2024 год    │        0           │        0    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││2025 год    │        0           │        0    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││2026 год    │        0           │        0    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││Итого       │        0           │        0           ││</w:t>
      </w:r>
    </w:p>
    <w:p w:rsidR="00F43586" w:rsidRDefault="00F43586">
      <w:pPr>
        <w:pStyle w:val="ConsPlusCell"/>
        <w:jc w:val="both"/>
      </w:pPr>
      <w:r>
        <w:t>│                │└────────────┴────────────────────┴────────────────────┘│</w:t>
      </w:r>
    </w:p>
    <w:p w:rsidR="00F43586" w:rsidRDefault="00F43586">
      <w:pPr>
        <w:pStyle w:val="ConsPlusCell"/>
        <w:jc w:val="both"/>
      </w:pPr>
      <w:r>
        <w:t>│                │средства федерального бюджета, млн. руб.:               │</w:t>
      </w:r>
    </w:p>
    <w:p w:rsidR="00F43586" w:rsidRDefault="00F43586">
      <w:pPr>
        <w:pStyle w:val="ConsPlusCell"/>
        <w:jc w:val="both"/>
      </w:pPr>
      <w:r>
        <w:t>│                │┌────────────┬────────────────────┬────────────────────┐│</w:t>
      </w:r>
    </w:p>
    <w:p w:rsidR="00F43586" w:rsidRDefault="00F43586">
      <w:pPr>
        <w:pStyle w:val="ConsPlusCell"/>
        <w:jc w:val="both"/>
      </w:pPr>
      <w:r>
        <w:t>│                ││            │      Выделено      │     Потребность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││2023 год    │        0           │        0    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││2024 год    │        0           │        0    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││2025 год    │        0           │        0    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 xml:space="preserve">│                ││2026 </w:t>
      </w:r>
      <w:proofErr w:type="gramStart"/>
      <w:r>
        <w:t xml:space="preserve">год:   </w:t>
      </w:r>
      <w:proofErr w:type="gramEnd"/>
      <w:r>
        <w:t>│        0           │        0    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││Итого       │        0           │        0           ││</w:t>
      </w:r>
    </w:p>
    <w:p w:rsidR="00F43586" w:rsidRDefault="00F43586">
      <w:pPr>
        <w:pStyle w:val="ConsPlusCell"/>
        <w:jc w:val="both"/>
      </w:pPr>
      <w:r>
        <w:t>│                │└────────────┴────────────────────┴────────────────────┘│</w:t>
      </w:r>
    </w:p>
    <w:p w:rsidR="00F43586" w:rsidRDefault="00F43586">
      <w:pPr>
        <w:pStyle w:val="ConsPlusCell"/>
        <w:jc w:val="both"/>
      </w:pPr>
      <w:r>
        <w:t>│                │внебюджетные средства, млн. руб.:                       │</w:t>
      </w:r>
    </w:p>
    <w:p w:rsidR="00F43586" w:rsidRDefault="00F43586">
      <w:pPr>
        <w:pStyle w:val="ConsPlusCell"/>
        <w:jc w:val="both"/>
      </w:pPr>
      <w:r>
        <w:t>│                │┌────────────┬────────────────────┬────────────────────┐│</w:t>
      </w:r>
    </w:p>
    <w:p w:rsidR="00F43586" w:rsidRDefault="00F43586">
      <w:pPr>
        <w:pStyle w:val="ConsPlusCell"/>
        <w:jc w:val="both"/>
      </w:pPr>
      <w:r>
        <w:t>│                ││            │      Выделено      │     Потребность    ││</w:t>
      </w:r>
    </w:p>
    <w:p w:rsidR="00F43586" w:rsidRDefault="00F43586">
      <w:pPr>
        <w:pStyle w:val="ConsPlusCell"/>
        <w:jc w:val="both"/>
      </w:pPr>
      <w:r>
        <w:t>│                ││            │                    │             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││2023, год   │       12,191       │      129,027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││2024 год    │        0           │      142,712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││2025 год    │        0           │      128,555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││2026 год    │        0           │      168,074       ││</w:t>
      </w:r>
    </w:p>
    <w:p w:rsidR="00F43586" w:rsidRDefault="00F43586">
      <w:pPr>
        <w:pStyle w:val="ConsPlusCell"/>
        <w:jc w:val="both"/>
      </w:pPr>
      <w:r>
        <w:t>│                │├────────────┼────────────────────┼────────────────────┤│</w:t>
      </w:r>
    </w:p>
    <w:p w:rsidR="00F43586" w:rsidRDefault="00F43586">
      <w:pPr>
        <w:pStyle w:val="ConsPlusCell"/>
        <w:jc w:val="both"/>
      </w:pPr>
      <w:r>
        <w:t>│                ││Итого       │       12,191       │      568,368       ││</w:t>
      </w:r>
    </w:p>
    <w:p w:rsidR="00F43586" w:rsidRDefault="00F43586">
      <w:pPr>
        <w:pStyle w:val="ConsPlusCell"/>
        <w:jc w:val="both"/>
      </w:pPr>
      <w:r>
        <w:t>│                │└────────────┴────────────────────┴────────────────────┘│</w:t>
      </w:r>
    </w:p>
    <w:p w:rsidR="00F43586" w:rsidRDefault="00F43586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F43586" w:rsidRDefault="00F43586">
      <w:pPr>
        <w:pStyle w:val="ConsPlusCell"/>
        <w:jc w:val="both"/>
      </w:pPr>
      <w:r>
        <w:t>│Основные        │Обеспечение ежегодного снижения объема потребляемых     │</w:t>
      </w:r>
    </w:p>
    <w:p w:rsidR="00F43586" w:rsidRDefault="00F43586">
      <w:pPr>
        <w:pStyle w:val="ConsPlusCell"/>
        <w:jc w:val="both"/>
      </w:pPr>
      <w:r>
        <w:t>│ожидаемые       │энергетических ресурсов муниципальными учреждениями     │</w:t>
      </w:r>
    </w:p>
    <w:p w:rsidR="00F43586" w:rsidRDefault="00F43586">
      <w:pPr>
        <w:pStyle w:val="ConsPlusCell"/>
        <w:jc w:val="both"/>
      </w:pPr>
      <w:r>
        <w:t xml:space="preserve">│результаты      │города </w:t>
      </w:r>
      <w:proofErr w:type="gramStart"/>
      <w:r>
        <w:t xml:space="preserve">Рыбинска:   </w:t>
      </w:r>
      <w:proofErr w:type="gramEnd"/>
      <w:r>
        <w:t xml:space="preserve">                                     │</w:t>
      </w:r>
    </w:p>
    <w:p w:rsidR="00F43586" w:rsidRDefault="00F43586">
      <w:pPr>
        <w:pStyle w:val="ConsPlusCell"/>
        <w:jc w:val="both"/>
      </w:pPr>
      <w:r>
        <w:t>│реализации      │- создание условий для экономии энергоресурсов в        │</w:t>
      </w:r>
    </w:p>
    <w:p w:rsidR="00F43586" w:rsidRDefault="00F43586">
      <w:pPr>
        <w:pStyle w:val="ConsPlusCell"/>
        <w:jc w:val="both"/>
      </w:pPr>
      <w:r>
        <w:t xml:space="preserve">│Программы       │жилищном </w:t>
      </w:r>
      <w:proofErr w:type="gramStart"/>
      <w:r>
        <w:t xml:space="preserve">фонде;   </w:t>
      </w:r>
      <w:proofErr w:type="gramEnd"/>
      <w:r>
        <w:t xml:space="preserve">                                      │</w:t>
      </w:r>
    </w:p>
    <w:p w:rsidR="00F43586" w:rsidRDefault="00F43586">
      <w:pPr>
        <w:pStyle w:val="ConsPlusCell"/>
        <w:jc w:val="both"/>
      </w:pPr>
      <w:r>
        <w:t>│                │- повышение энергетической эффективности в системах     │</w:t>
      </w:r>
    </w:p>
    <w:p w:rsidR="00F43586" w:rsidRDefault="00F43586">
      <w:pPr>
        <w:pStyle w:val="ConsPlusCell"/>
        <w:jc w:val="both"/>
      </w:pPr>
      <w:r>
        <w:t>│                │коммунальной инфраструктуры                             │</w:t>
      </w:r>
    </w:p>
    <w:p w:rsidR="00F43586" w:rsidRDefault="00F43586">
      <w:pPr>
        <w:pStyle w:val="ConsPlusCell"/>
        <w:jc w:val="both"/>
      </w:pPr>
      <w:r>
        <w:t>└────────────────┴────────────────────────────────────────────────────────┘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Title"/>
        <w:jc w:val="center"/>
        <w:outlineLvl w:val="1"/>
      </w:pPr>
      <w:r>
        <w:t>1. Анализ существующей ситуации и оценка проблемы,</w:t>
      </w:r>
    </w:p>
    <w:p w:rsidR="00F43586" w:rsidRDefault="00F43586">
      <w:pPr>
        <w:pStyle w:val="ConsPlusTitle"/>
        <w:jc w:val="center"/>
      </w:pPr>
      <w:r>
        <w:t>решение которой осуществляется путем реализации Программы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ind w:firstLine="540"/>
        <w:jc w:val="both"/>
      </w:pPr>
      <w:r>
        <w:t>Комплексное решение вопросов, связанных с эффективным использованием топливно-энергетических ресурсов на территории городского округа город Рыбинск Ярославской области (далее - городской округ), является одной из приоритетных задач экономического развития социальной и жилищно-коммунальной инфраструктуры. Рост тарифов на тепловую и электрическую энергию, цен на топливо, ресурсы, инфляция приводят к повышению расходов на энергообеспечение жилых домов, учреждений социальной сферы, увеличению коммунальных платежей населения и учреждений социальной сферы. Данные негативные последствия обуславливают объективную необходимость экономии топливно-энергетических ресурсов на территории городского округа и актуальность проведения единой целенаправленной политики энергосбережения.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Решение проблемы связано с осуществлением комплекса мероприятий по энергосбережению и повышению энергетической эффективности при производстве, передаче и потреблении энергетических ресурсов на территории городского округа.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Приоритетными направлениями, в которых требуется решение первоочередных задач по энергосбережению и повышению энергетической эффективности, являются: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- социальная сфера,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- жилищный фонд;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- коммунальный комплекс.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Динамика потребления энергоресурсов и воды за 2018 - 2022 годы.</w:t>
      </w:r>
    </w:p>
    <w:p w:rsidR="00F43586" w:rsidRDefault="00F435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361"/>
        <w:gridCol w:w="1122"/>
        <w:gridCol w:w="1122"/>
        <w:gridCol w:w="1122"/>
        <w:gridCol w:w="1122"/>
        <w:gridCol w:w="1122"/>
      </w:tblGrid>
      <w:tr w:rsidR="00F43586">
        <w:tc>
          <w:tcPr>
            <w:tcW w:w="2098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61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5610" w:type="dxa"/>
            <w:gridSpan w:val="5"/>
          </w:tcPr>
          <w:p w:rsidR="00F43586" w:rsidRDefault="00F43586">
            <w:pPr>
              <w:pStyle w:val="ConsPlusNormal"/>
              <w:jc w:val="center"/>
            </w:pPr>
            <w:r>
              <w:t>Объемы потребления по годам</w:t>
            </w:r>
          </w:p>
        </w:tc>
      </w:tr>
      <w:tr w:rsidR="00F43586">
        <w:tc>
          <w:tcPr>
            <w:tcW w:w="2098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361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2022</w:t>
            </w:r>
          </w:p>
        </w:tc>
      </w:tr>
      <w:tr w:rsidR="00F43586">
        <w:tc>
          <w:tcPr>
            <w:tcW w:w="2098" w:type="dxa"/>
          </w:tcPr>
          <w:p w:rsidR="00F43586" w:rsidRDefault="00F43586">
            <w:pPr>
              <w:pStyle w:val="ConsPlusNormal"/>
            </w:pPr>
            <w:r>
              <w:t>Тепловая энергия</w:t>
            </w:r>
          </w:p>
        </w:tc>
        <w:tc>
          <w:tcPr>
            <w:tcW w:w="1361" w:type="dxa"/>
          </w:tcPr>
          <w:p w:rsidR="00F43586" w:rsidRDefault="00F43586">
            <w:pPr>
              <w:pStyle w:val="ConsPlusNormal"/>
              <w:jc w:val="center"/>
            </w:pPr>
            <w:r>
              <w:t>тыс. Гкал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1448,19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1445,38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1444,89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1439,703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1363,357</w:t>
            </w:r>
          </w:p>
        </w:tc>
      </w:tr>
      <w:tr w:rsidR="00F43586">
        <w:tc>
          <w:tcPr>
            <w:tcW w:w="2098" w:type="dxa"/>
          </w:tcPr>
          <w:p w:rsidR="00F43586" w:rsidRDefault="00F43586">
            <w:pPr>
              <w:pStyle w:val="ConsPlusNormal"/>
            </w:pPr>
            <w:r>
              <w:t>Электрическая энергия</w:t>
            </w:r>
          </w:p>
        </w:tc>
        <w:tc>
          <w:tcPr>
            <w:tcW w:w="1361" w:type="dxa"/>
          </w:tcPr>
          <w:p w:rsidR="00F43586" w:rsidRDefault="00F43586">
            <w:pPr>
              <w:pStyle w:val="ConsPlusNormal"/>
              <w:jc w:val="center"/>
            </w:pPr>
            <w:r>
              <w:t xml:space="preserve">тыс. </w:t>
            </w:r>
            <w:proofErr w:type="spellStart"/>
            <w:r>
              <w:t>кВтч</w:t>
            </w:r>
            <w:proofErr w:type="spellEnd"/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403165,0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402867,0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402398,0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401548,0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401315,0</w:t>
            </w:r>
          </w:p>
        </w:tc>
      </w:tr>
      <w:tr w:rsidR="00F43586">
        <w:tc>
          <w:tcPr>
            <w:tcW w:w="2098" w:type="dxa"/>
          </w:tcPr>
          <w:p w:rsidR="00F43586" w:rsidRDefault="00F43586">
            <w:pPr>
              <w:pStyle w:val="ConsPlusNormal"/>
            </w:pPr>
            <w:r>
              <w:t>Вода</w:t>
            </w:r>
          </w:p>
        </w:tc>
        <w:tc>
          <w:tcPr>
            <w:tcW w:w="1361" w:type="dxa"/>
          </w:tcPr>
          <w:p w:rsidR="00F43586" w:rsidRDefault="00F43586">
            <w:pPr>
              <w:pStyle w:val="ConsPlusNormal"/>
              <w:jc w:val="center"/>
            </w:pPr>
            <w:r>
              <w:t>тыс. куб. м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21503,5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21085,6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20033,4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19353,0</w:t>
            </w:r>
          </w:p>
        </w:tc>
        <w:tc>
          <w:tcPr>
            <w:tcW w:w="1122" w:type="dxa"/>
          </w:tcPr>
          <w:p w:rsidR="00F43586" w:rsidRDefault="00F43586">
            <w:pPr>
              <w:pStyle w:val="ConsPlusNormal"/>
              <w:jc w:val="center"/>
            </w:pPr>
            <w:r>
              <w:t>19278,0</w:t>
            </w:r>
          </w:p>
        </w:tc>
      </w:tr>
    </w:tbl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ind w:firstLine="540"/>
        <w:jc w:val="both"/>
      </w:pPr>
      <w:r>
        <w:t>По данным таблицы объемы потребления воды устойчиво снижаются. Объемы потребления тепловой и электрической энергии не стабильны и определяются преимущественно климатическими факторами.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В настоящее время во всех муниципальных учреждениях городского округа расчеты за потребленные энергоресурсы осуществляются по показаниям приборов учета используемых энергетических ресурсов (далее - приборы учета):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 xml:space="preserve">- тепловой энергии - по 107 приборам учета, что составляет 100% от общего количества необходимых приборов учета (тепловая нагрузка больше 0,2 Ткал/час), в </w:t>
      </w:r>
      <w:proofErr w:type="spellStart"/>
      <w:r>
        <w:t>т.ч</w:t>
      </w:r>
      <w:proofErr w:type="spellEnd"/>
      <w:r>
        <w:t xml:space="preserve">. по 40 приборам учета с автоматизированным </w:t>
      </w:r>
      <w:proofErr w:type="spellStart"/>
      <w:r>
        <w:t>погодозависимым</w:t>
      </w:r>
      <w:proofErr w:type="spellEnd"/>
      <w:r>
        <w:t xml:space="preserve"> регулированием потребления тепловой энергии;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- холодной воды - по 223 приборам учета, что составляет 100% от общего количества приборов учета;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lastRenderedPageBreak/>
        <w:t>- электрической энергии - по 289 приборам учета, что составляет 100% от общего количества необходимых приборов учета.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 xml:space="preserve">Муниципальными учреждениями городского округа реализуются мероприятия муниципальной программы, представленные в </w:t>
      </w:r>
      <w:hyperlink w:anchor="P668">
        <w:r>
          <w:rPr>
            <w:color w:val="0000FF"/>
          </w:rPr>
          <w:t>разделе 7.1</w:t>
        </w:r>
      </w:hyperlink>
      <w:r>
        <w:t xml:space="preserve"> Программы.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На начало 2023 года в эксплуатации находятся 1514 многоквартирных дома, общая площадь жилых помещений в которых составляет 4407,7 тыс. м</w:t>
      </w:r>
      <w:r>
        <w:rPr>
          <w:vertAlign w:val="superscript"/>
        </w:rPr>
        <w:t>2</w:t>
      </w:r>
      <w:r>
        <w:t>. Население городского округа по состоянию на 01.01.2023 составляет 173,9 тыс. человек и является самым крупным потребителем энергоресурсов.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Годовое потребление энергетических ресурсов жилищным фондом городского округа составляет около 65% от общего потребления.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Эффективное управление многоквартирными домами невозможно без использования энергосберегающих технологий - применение современных теплоизоляционных материалов, оснащение коллективными (общедомовыми) приборами учета используемых воды, тепловой энергии, электрической энергии (далее - ОДНУ), замена изношенных трубопроводов, установка энергосберегающего оборудования.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При использовании данных технологий возможно: не только улучшение качественных характеристик жилых домов, комфортности проживания, но и значительное сокращение издержек по содержанию и ремонту зданий, увеличение межремонтных сроков, экономия коммунальных ресурсов, что приведет в конечном итоге к снижению финансовой нагрузки на потребителей.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 xml:space="preserve">Для успешного решения поставленных задач в жилищном фонде запланировано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(внедрение энергосберегающих светильников с установкой датчиков движения, утепление входных дверей и окон, восстановление и ремонт теплоизоляции на внутренних сетях отопления и ГВС, ремонт внутридомовых сетей, утепление фасадов, замена ветхих и аварийных внутридомовых систем тепло-, водо-, электроснабжения, установка ОДНУ и оснащение муниципальных жилых помещений ИЛУ), представленных в </w:t>
      </w:r>
      <w:hyperlink w:anchor="P770">
        <w:r>
          <w:rPr>
            <w:color w:val="0000FF"/>
          </w:rPr>
          <w:t>разделе 7.2</w:t>
        </w:r>
      </w:hyperlink>
      <w:r>
        <w:t xml:space="preserve"> Программы.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Коммунальный комплекс является важнейшей отраслью муниципального образования, определяющей показатели и условия энергообеспечения его экономики, социальной сферы и населения.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Снижение неэффективных затрат коммунального комплекса в настоящее время является приоритетным не только в вопросах ценообразования и снижения расходов на услуги, но и в вопросах энергосбережения и повышения энергетической эффективности.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Основу систем жизнеобеспечения любого современного города составляют многочисленные трубопроводы - водоснабжения, теплоснабжения, бытовой и ливневой канализации. Эти сети создавались десятилетиями, и их протяженность измеряется многими сотнями километров. В настоящее время состояние коммунальных сетей представляет собой проблему, серьезность которой нельзя недооценивать.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По состоянию на 01.01.2023 в городском округе фактический износ инженерных сетей составляет 68,3%.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Общий износ тепловых сетей составляет 73,2%. Потери тепловой энергии при ее передаче за 2022 год составили 26,77% от отпущенной энергии всем потребителям.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Износ водопроводных и канализационных сетей на 01.01.2023 составляет 73% и 69% соответственно. Потери за 2022 год составили 21% от общего отпуска воды всем потребителям.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lastRenderedPageBreak/>
        <w:t>Износ сетей электроснабжения на 01.01.2023 составляет 58%.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 xml:space="preserve">Предприятием ООО "Рыбинская генерация" за счет внебюджетных источников реализуются мероприятия, представленные в </w:t>
      </w:r>
      <w:hyperlink w:anchor="P1294">
        <w:r>
          <w:rPr>
            <w:color w:val="0000FF"/>
          </w:rPr>
          <w:t>пунктах 1</w:t>
        </w:r>
      </w:hyperlink>
      <w:r>
        <w:t xml:space="preserve"> - </w:t>
      </w:r>
      <w:hyperlink w:anchor="P1912">
        <w:r>
          <w:rPr>
            <w:color w:val="0000FF"/>
          </w:rPr>
          <w:t>9 раздела 7.3</w:t>
        </w:r>
      </w:hyperlink>
      <w:r>
        <w:t xml:space="preserve"> Программы.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Решение проблем энергосбережения топливно-энергетических ресурсов на территории городского округа возможно только в комплексе и требует взаимодействия между органами государственной власти Ярославской области, органами местного самоуправления и предприятиями жилищно-коммунального комплекса, направленного на осуществление энергосберегающих мероприятий.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Решение проблемы энергосбережения и повышения энергетической эффективности носит долгосрочный характер, что обусловлено необходимостью замены,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Развитие энергосбережения позволит не только в сжатые сроки и с наименьшими затратами высвободить энергетические мощности для обеспечения темпов роста экономики городского округа, но и снизить возрастающие расходы на коммунальные платежи у населения, таким образом энергосбережение имеет еще и социальную направленность.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Создание условий для повышения эффективности использования энергоресурсов в экономике городского округа является одной из приоритетных задач его социально-экономического развития.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Title"/>
        <w:jc w:val="center"/>
        <w:outlineLvl w:val="1"/>
      </w:pPr>
      <w:r>
        <w:t>2. Цели, задачи и ожидаемые результаты реализации Программы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ind w:firstLine="540"/>
        <w:jc w:val="both"/>
      </w:pPr>
      <w:r>
        <w:t xml:space="preserve">Целями Программы являются - рациональное использование топливно-энергетических ресурсов, внедрение </w:t>
      </w:r>
      <w:proofErr w:type="spellStart"/>
      <w:r>
        <w:t>энерго</w:t>
      </w:r>
      <w:proofErr w:type="spellEnd"/>
      <w:r>
        <w:t>- и ресурсосберегающих технологий.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Для достижения целей Программы необходимо выполнение следующих задач: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1. Выполнение комплекса мер по повышению эффективности использования энергетических ресурсов на объектах социальной сферы.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3. Выполнение комплекса мер по повышению энергетической эффективности в системах коммунальной инфраструктуры.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Ожидаемые результаты реализации Программы: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1. Обеспечение ежегодного снижения объема потребляемых энергетических ресурсов муниципальными учреждениями города Рыбинска.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2. Созданы условия для экономии энергоресурсов в жилищном фонде.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3. Повышение энергетической эффективности в системах коммунальной инфраструктуры.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Title"/>
        <w:jc w:val="center"/>
        <w:outlineLvl w:val="1"/>
      </w:pPr>
      <w:r>
        <w:t>3. Социально-экономическое обоснование Программы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ind w:firstLine="540"/>
        <w:jc w:val="both"/>
      </w:pPr>
      <w:r>
        <w:t>Приоритетными направлениями деятельности по энергосбережению на период действия Программы являются следующие направления: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ind w:firstLine="540"/>
        <w:jc w:val="both"/>
      </w:pPr>
      <w:r>
        <w:lastRenderedPageBreak/>
        <w:t>Социальная сфера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Организация работы по подаче энергетических деклараций муниципальными учреждениями.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ind w:firstLine="540"/>
        <w:jc w:val="both"/>
      </w:pPr>
      <w:r>
        <w:t>Жилищный фонд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Применение энергосберегающих технологий при модернизации, реконструкции и капитальном ремонте основных фондов (внедрение энергосберегающих светильников с установкой датчиков движения, утепление входных дверей и окон, установка приборов учета потребления коммунальных ресурсов, восстановление и ремонт теплоизоляции на внутренних сетях отопления и FBC, утепление фасадов, замена ветхих и аварийных внутридомовых систем тепло-, водо-, электроснабжения, установка стеклопакетов на лестничных клетках). Результатом выполнения данных мероприятий является экономия энергетических ресурсов.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 xml:space="preserve">Учет энергоресурсов один из наиболее эффективных способов повысить уровень </w:t>
      </w:r>
      <w:proofErr w:type="spellStart"/>
      <w:r>
        <w:t>энергоресурсопотребления</w:t>
      </w:r>
      <w:proofErr w:type="spellEnd"/>
      <w:r>
        <w:t xml:space="preserve"> отдельной квартиры, дома, города. </w:t>
      </w:r>
      <w:proofErr w:type="gramStart"/>
      <w:r>
        <w:t>Установка прибора учета это</w:t>
      </w:r>
      <w:proofErr w:type="gramEnd"/>
      <w:r>
        <w:t xml:space="preserve"> не технология и не метод энергосбережения, это стимул к экономии коммунальных ресурсов. При установке приборов учета потребители постоянно могут наблюдать за потреблением ресурса, тем самым узнавать: сколько они потребили и на сколько могут сократить потребление коммунальных ресурсов.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Приборный учет дает возможность зафиксировать реально потребленное количество энергоресурсов, которое, как правило, ниже расчетного.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На 01.01.2023 в городском округе ОДПУ тепловой энергии установлены в 526 из 1453 МКД подключенных к централизованной системе отопления, что составляет 36,20%, холодной воды в 400 Из 1514 МКД подключенных к централизованной системе холодного водоснабжения, что составляет 26,42%, электрической энергии в 1344 из 1514 МКД подключенных к системе электроснабжения, что составляет 88,77%. Оперативный контроль за потреблением энергоресурсов существенно повысит результативность энергосбережения, так как позволяет выявлять МКД с избыточным или недостаточным теплопотреблением, производить регулировку гидравлического режима тепловых сетей, определять потери и устранять их.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Ориентировочно срок окупаемости произведенных затрат по установке ОДПУ - 3 года.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В соответствии с законодательством об энергосбережении и о повышении энергетической эффективности жилые помещения должны быть оснащены индивидуальными и общими (для коммунальной квартиры) приборами учета используемых энергетических ресурсов (далее - ИПУ). За период реализации программы 2023 - 2026 годы планируется установить 380 ед. ИПУ в муниципальных жилых помещениях.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ind w:firstLine="540"/>
        <w:jc w:val="both"/>
      </w:pPr>
      <w:r>
        <w:t>Коммунальный комплекс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Основные мероприятия по применению энергосберегающих технологий при модернизации, реконструкции и капитальном ремонте основных фондов: Г. Реконструкция котельных с переводом паровых котлов в водогрейный режим работы "Слип", "Тема", "Сельхозтехника". Экономия электрической энергии в год 145730 кВт/год, экономия газа - 975,5 тыс. м</w:t>
      </w:r>
      <w:r>
        <w:rPr>
          <w:vertAlign w:val="superscript"/>
        </w:rPr>
        <w:t>3</w:t>
      </w:r>
      <w:r>
        <w:t>/год.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2. Реконструкция котельной "Полиграф", включая ХВО. Экономия электрической энергии в год 55736 кВт/год, экономия газа - 279 тыс. м</w:t>
      </w:r>
      <w:r>
        <w:rPr>
          <w:vertAlign w:val="superscript"/>
        </w:rPr>
        <w:t>3</w:t>
      </w:r>
      <w:r>
        <w:t>/год.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3. Строительство новой котельной в районе земельного участка по пр. 50 лет Октября. Экономия электрической энергии в год 219,587 тыс. кВт/год, экономия газа - 90 тыс. м</w:t>
      </w:r>
      <w:r>
        <w:rPr>
          <w:vertAlign w:val="superscript"/>
        </w:rPr>
        <w:t>3</w:t>
      </w:r>
      <w:r>
        <w:t>/год.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 xml:space="preserve">4. Строительство новой </w:t>
      </w:r>
      <w:proofErr w:type="spellStart"/>
      <w:r>
        <w:t>блочно</w:t>
      </w:r>
      <w:proofErr w:type="spellEnd"/>
      <w:r>
        <w:t xml:space="preserve">-модульной котельной в районе земельного участка по ул. </w:t>
      </w:r>
      <w:r>
        <w:lastRenderedPageBreak/>
        <w:t>Нобелевская, д. 3. Экономия электрической энергии в год 27,938 тыс. кВт/год, экономия газа - 14,9 тыс. м/год.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 xml:space="preserve">5. Строительство новой </w:t>
      </w:r>
      <w:proofErr w:type="spellStart"/>
      <w:r>
        <w:t>блочно</w:t>
      </w:r>
      <w:proofErr w:type="spellEnd"/>
      <w:r>
        <w:t>-модульной котельной в районе земельного участка по ул. М. Горького, д. 57. Экономия электрической энергии в год 53,732 тыс. кВт/год, экономия газа - 230,5 тыс. м</w:t>
      </w:r>
      <w:r>
        <w:rPr>
          <w:vertAlign w:val="superscript"/>
        </w:rPr>
        <w:t>3</w:t>
      </w:r>
      <w:r>
        <w:t>/год.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6. Реконструкция котельной "Софьи Перовской" с установкой котла UDC/Переключение нагрузок котельной "Софьи Перовской" и бойлерных ООО "Раскат-РОС".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7. Реконструкция магистральных тепловых сетей котельных "Волжский", "Переборы", от котельной ПАО "ОДК "Сатурн" до ЦТП.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 xml:space="preserve">8. Режимная наладка тепловых сетей районов Центральный, Западный, </w:t>
      </w:r>
      <w:proofErr w:type="spellStart"/>
      <w:r>
        <w:t>Переборский</w:t>
      </w:r>
      <w:proofErr w:type="spellEnd"/>
      <w:r>
        <w:t>. Экономия электрической энергии в год 1591,540 тыс. кВт/год, экономия газа - 1893,62 тыс. м</w:t>
      </w:r>
      <w:r>
        <w:rPr>
          <w:vertAlign w:val="superscript"/>
        </w:rPr>
        <w:t>3</w:t>
      </w:r>
      <w:r>
        <w:t>/год.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9. Реконструкция узлов тепловой энергии на котельных "Волжский", "С. Перовской", "Призма", "Сельхозтехника", "Стоялая", "Веретье-3", "Полиграф".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Успешная реализация Программы позволит: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- повысить эффективность использования энергетических ресурсов, потребителями городского округа, включая жилищный фонд и коммунальный комплекс, в том числе за счет сокращения потерь энергетических ресурсов при их производстве, преобразовании, передаче и конечном использовании;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повысить надежность функционирования инженерных систем жизнеобеспечения, сформировать безопасную, благоустроенную среду жизнедеятельности с минимальными затратами энергии и ресурсов;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- повысить эффективность работы, хозяйственную самостоятельность предприятий, учреждений и организаций различных форм собственности и ведомственной принадлежности, муниципальных учреждений и предприятий городского округа и их ответственность за качество обслуживания потребителей;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- повысить экологическую эффективность и безопасность на основе рационального и экологически ответственного использования энергии и ресурсов, способствующих обеспечению права граждан на благоприятную окружающую среду.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 xml:space="preserve">Значения индикаторов результативности Программы отображены в </w:t>
      </w:r>
      <w:hyperlink w:anchor="P425">
        <w:r>
          <w:rPr>
            <w:color w:val="0000FF"/>
          </w:rPr>
          <w:t>разделе 6</w:t>
        </w:r>
      </w:hyperlink>
      <w:r>
        <w:t xml:space="preserve"> Программы.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За счет реализации потенциала энергосбережения и повышения энергетической эффективности на основе перехода к рациональному и экологически ответственному использованию энергетических ресурсов будут созданы дополнительные условия для повышения конкурентоспособности, финансовой устойчивости, энергетической и экологической безопасности экономики городского округа, роста уровня и качества жизни населения.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Title"/>
        <w:jc w:val="center"/>
        <w:outlineLvl w:val="1"/>
      </w:pPr>
      <w:r>
        <w:t>4. Финансирование Программы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ind w:firstLine="540"/>
        <w:jc w:val="both"/>
      </w:pPr>
      <w:r>
        <w:t>Потребность в финансировании программных мероприятий планируется обеспечить за счет средств бюджетов всех уровней и внебюджетных источников.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Финансирование энергосберегающих мероприятий из бюджета городского округа осуществляется в пределах средств, предусмотренных решением Муниципального Совета городского округа город Рыбинск о бюджете городского округа на соответствующий финансовый год и плановый Период,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lastRenderedPageBreak/>
        <w:t>Внебюджетными источниками финансирования Программы являются: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- собственные средства организаций жилищно-коммунального комплекса (амортизация, прибыль);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- средства населения (собственников помещений);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Объем и структура бюджетного и внебюджетного финансирования Программы согласовываются с Заказчиком Программы и подлежат ежегодному уточнению в соответствии с выделенным объемом финансирования из бюджетов всех уровней и внебюджетных источников и с учетом фактического выполнения программных мероприятий.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sectPr w:rsidR="00F43586" w:rsidSect="004812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192"/>
        <w:gridCol w:w="1192"/>
        <w:gridCol w:w="1192"/>
        <w:gridCol w:w="1192"/>
        <w:gridCol w:w="1192"/>
        <w:gridCol w:w="1192"/>
        <w:gridCol w:w="1192"/>
        <w:gridCol w:w="1192"/>
        <w:gridCol w:w="1192"/>
        <w:gridCol w:w="1196"/>
      </w:tblGrid>
      <w:tr w:rsidR="00F43586">
        <w:tc>
          <w:tcPr>
            <w:tcW w:w="1644" w:type="dxa"/>
            <w:vMerge w:val="restart"/>
          </w:tcPr>
          <w:p w:rsidR="00F43586" w:rsidRDefault="00F43586">
            <w:pPr>
              <w:pStyle w:val="ConsPlusNormal"/>
            </w:pPr>
          </w:p>
        </w:tc>
        <w:tc>
          <w:tcPr>
            <w:tcW w:w="5960" w:type="dxa"/>
            <w:gridSpan w:val="5"/>
          </w:tcPr>
          <w:p w:rsidR="00F43586" w:rsidRDefault="00F43586">
            <w:pPr>
              <w:pStyle w:val="ConsPlusNormal"/>
              <w:jc w:val="center"/>
            </w:pPr>
            <w:r>
              <w:t>Предусмотрено Программой, млн. руб.</w:t>
            </w:r>
          </w:p>
        </w:tc>
        <w:tc>
          <w:tcPr>
            <w:tcW w:w="5964" w:type="dxa"/>
            <w:gridSpan w:val="5"/>
          </w:tcPr>
          <w:p w:rsidR="00F43586" w:rsidRDefault="00F43586">
            <w:pPr>
              <w:pStyle w:val="ConsPlusNormal"/>
              <w:jc w:val="center"/>
            </w:pPr>
            <w:r>
              <w:t>Потребность в финансировании, млн. руб.</w:t>
            </w:r>
          </w:p>
        </w:tc>
      </w:tr>
      <w:tr w:rsidR="00F43586">
        <w:tc>
          <w:tcPr>
            <w:tcW w:w="1644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96" w:type="dxa"/>
          </w:tcPr>
          <w:p w:rsidR="00F43586" w:rsidRDefault="00F43586">
            <w:pPr>
              <w:pStyle w:val="ConsPlusNormal"/>
              <w:jc w:val="center"/>
            </w:pPr>
            <w:r>
              <w:t>Всего</w:t>
            </w:r>
          </w:p>
        </w:tc>
      </w:tr>
      <w:tr w:rsidR="00F43586">
        <w:tc>
          <w:tcPr>
            <w:tcW w:w="1644" w:type="dxa"/>
          </w:tcPr>
          <w:p w:rsidR="00F43586" w:rsidRDefault="00F43586">
            <w:pPr>
              <w:pStyle w:val="ConsPlusNormal"/>
            </w:pPr>
            <w:r>
              <w:t>2023 г.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0,040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12,191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12,231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17,377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129,027</w:t>
            </w:r>
          </w:p>
        </w:tc>
        <w:tc>
          <w:tcPr>
            <w:tcW w:w="1196" w:type="dxa"/>
          </w:tcPr>
          <w:p w:rsidR="00F43586" w:rsidRDefault="00F43586">
            <w:pPr>
              <w:pStyle w:val="ConsPlusNormal"/>
              <w:jc w:val="center"/>
            </w:pPr>
            <w:r>
              <w:t>146,404</w:t>
            </w:r>
          </w:p>
        </w:tc>
      </w:tr>
      <w:tr w:rsidR="00F43586">
        <w:tc>
          <w:tcPr>
            <w:tcW w:w="1644" w:type="dxa"/>
          </w:tcPr>
          <w:p w:rsidR="00F43586" w:rsidRDefault="00F43586">
            <w:pPr>
              <w:pStyle w:val="ConsPlusNormal"/>
            </w:pPr>
            <w:r>
              <w:t>2024 г.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0,307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0,307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8,713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142,712</w:t>
            </w:r>
          </w:p>
        </w:tc>
        <w:tc>
          <w:tcPr>
            <w:tcW w:w="1196" w:type="dxa"/>
          </w:tcPr>
          <w:p w:rsidR="00F43586" w:rsidRDefault="00F43586">
            <w:pPr>
              <w:pStyle w:val="ConsPlusNormal"/>
              <w:jc w:val="center"/>
            </w:pPr>
            <w:r>
              <w:t>151,425</w:t>
            </w:r>
          </w:p>
        </w:tc>
      </w:tr>
      <w:tr w:rsidR="00F43586">
        <w:tc>
          <w:tcPr>
            <w:tcW w:w="1644" w:type="dxa"/>
          </w:tcPr>
          <w:p w:rsidR="00F43586" w:rsidRDefault="00F43586">
            <w:pPr>
              <w:pStyle w:val="ConsPlusNormal"/>
            </w:pPr>
            <w:r>
              <w:t>2025 г.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0,557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0,557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9,206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128,555</w:t>
            </w:r>
          </w:p>
        </w:tc>
        <w:tc>
          <w:tcPr>
            <w:tcW w:w="1196" w:type="dxa"/>
          </w:tcPr>
          <w:p w:rsidR="00F43586" w:rsidRDefault="00F43586">
            <w:pPr>
              <w:pStyle w:val="ConsPlusNormal"/>
              <w:jc w:val="center"/>
            </w:pPr>
            <w:r>
              <w:t>137,761</w:t>
            </w:r>
          </w:p>
        </w:tc>
      </w:tr>
      <w:tr w:rsidR="00F43586">
        <w:tc>
          <w:tcPr>
            <w:tcW w:w="1644" w:type="dxa"/>
          </w:tcPr>
          <w:p w:rsidR="00F43586" w:rsidRDefault="00F43586">
            <w:pPr>
              <w:pStyle w:val="ConsPlusNormal"/>
            </w:pPr>
            <w:r>
              <w:t>2026 г.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168,074</w:t>
            </w:r>
          </w:p>
        </w:tc>
        <w:tc>
          <w:tcPr>
            <w:tcW w:w="1196" w:type="dxa"/>
          </w:tcPr>
          <w:p w:rsidR="00F43586" w:rsidRDefault="00F43586">
            <w:pPr>
              <w:pStyle w:val="ConsPlusNormal"/>
              <w:jc w:val="center"/>
            </w:pPr>
            <w:r>
              <w:t>168,074</w:t>
            </w:r>
          </w:p>
        </w:tc>
      </w:tr>
      <w:tr w:rsidR="00F43586">
        <w:tc>
          <w:tcPr>
            <w:tcW w:w="1644" w:type="dxa"/>
          </w:tcPr>
          <w:p w:rsidR="00F43586" w:rsidRDefault="00F43586">
            <w:pPr>
              <w:pStyle w:val="ConsPlusNormal"/>
            </w:pPr>
            <w:r>
              <w:t>Итого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1,249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12,191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13,440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35,641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2" w:type="dxa"/>
          </w:tcPr>
          <w:p w:rsidR="00F43586" w:rsidRDefault="00F43586">
            <w:pPr>
              <w:pStyle w:val="ConsPlusNormal"/>
              <w:jc w:val="center"/>
            </w:pPr>
            <w:r>
              <w:t>568,368</w:t>
            </w:r>
          </w:p>
        </w:tc>
        <w:tc>
          <w:tcPr>
            <w:tcW w:w="1196" w:type="dxa"/>
          </w:tcPr>
          <w:p w:rsidR="00F43586" w:rsidRDefault="00F43586">
            <w:pPr>
              <w:pStyle w:val="ConsPlusNormal"/>
              <w:jc w:val="center"/>
            </w:pPr>
            <w:r>
              <w:t>604,009</w:t>
            </w:r>
          </w:p>
        </w:tc>
      </w:tr>
    </w:tbl>
    <w:p w:rsidR="00F43586" w:rsidRDefault="00F43586">
      <w:pPr>
        <w:pStyle w:val="ConsPlusNormal"/>
        <w:sectPr w:rsidR="00F4358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Title"/>
        <w:jc w:val="center"/>
        <w:outlineLvl w:val="1"/>
      </w:pPr>
      <w:r>
        <w:t>5. Механизм реализации Программы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ind w:firstLine="540"/>
        <w:jc w:val="both"/>
      </w:pPr>
      <w:r>
        <w:t>Ответственный исполнитель - руководитель Программы: Департамент ЖКХ, транспорта и связи Администрации городского округа город Рыбинск Ярославской области. Соисполнители Программы: муниципальные учреждения городского округа, управляющие компании, ООО "Рыбинская генерация", ГП ЯО "Северный водоканал", МКУ "</w:t>
      </w:r>
      <w:proofErr w:type="spellStart"/>
      <w:r>
        <w:t>Жилкомцентр</w:t>
      </w:r>
      <w:proofErr w:type="spellEnd"/>
      <w:r>
        <w:t>".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При реализации мероприятий на предприятии (в организации) руководитель организует работу по управлению энергосбережением, определяет основные направления, плановые показатели деятельности в этой сфере.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Соисполнители Программы в установленном порядке представляют ответственному исполнителю - руководителю Программы (Департамент жилищно-коммунального хозяйства, транспорта и связи Администрации городского округа город Рыбинск Ярославской области), информацию о ходе реализации мероприятий Программы.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Контроль за целевым использованием средств бюджета городского округа, направленных на реализацию Программы, осуществляется в соответствии с действующим законодательством.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Соисполнители Программы ежеквартального 20 числа месяца, следующего за отчетным периодом, предоставляют информацию о ходе реализации Программы ответственному исполнителю - руководителю Программы.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С учетом положений Программы ответственный исполнитель - руководитель Программы: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- координирует реализацию программных мероприятий;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- осуществляет мониторинг хода реализации Программы, в том числе сбор и анализ статистической и иной информации об эффективности использования энергетических ресурсов;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- контролирует выполнение соисполнителями Программы в установленные сроки программных мероприятий, эффективность и целевое использование выделенных на реализацию Программы бюджетных средств.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- планирует совместно с соисполнителями Программы программные мероприятия, уточняет объемы и источники финансирования на очередной финансовый год и плановый период, готовит предложения по корректировке Программы и в установленном порядке представляет их на утверждение в Администрацию городского округа город Рыбинск Ярославской области.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Title"/>
        <w:jc w:val="center"/>
        <w:outlineLvl w:val="1"/>
      </w:pPr>
      <w:bookmarkStart w:id="1" w:name="P425"/>
      <w:bookmarkEnd w:id="1"/>
      <w:r>
        <w:t>6. Индикаторы результативности Программы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jc w:val="right"/>
        <w:outlineLvl w:val="2"/>
      </w:pPr>
      <w:r>
        <w:t>Таблица 1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sectPr w:rsidR="00F4358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4025"/>
        <w:gridCol w:w="1247"/>
        <w:gridCol w:w="1134"/>
        <w:gridCol w:w="1013"/>
        <w:gridCol w:w="1013"/>
        <w:gridCol w:w="1013"/>
        <w:gridCol w:w="1015"/>
      </w:tblGrid>
      <w:tr w:rsid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lastRenderedPageBreak/>
              <w:t>П/п</w:t>
            </w:r>
          </w:p>
        </w:tc>
        <w:tc>
          <w:tcPr>
            <w:tcW w:w="2551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4025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Наименование целевого индикатора (показателя)</w:t>
            </w:r>
          </w:p>
        </w:tc>
        <w:tc>
          <w:tcPr>
            <w:tcW w:w="124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Базовое значение 2022</w:t>
            </w:r>
          </w:p>
        </w:tc>
        <w:tc>
          <w:tcPr>
            <w:tcW w:w="4054" w:type="dxa"/>
            <w:gridSpan w:val="4"/>
          </w:tcPr>
          <w:p w:rsidR="00F43586" w:rsidRDefault="00F43586">
            <w:pPr>
              <w:pStyle w:val="ConsPlusNormal"/>
              <w:jc w:val="center"/>
            </w:pPr>
            <w:r>
              <w:t>Планируемое значение</w:t>
            </w:r>
          </w:p>
        </w:tc>
      </w:tr>
      <w:tr w:rsid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24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134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2026</w:t>
            </w:r>
          </w:p>
        </w:tc>
      </w:tr>
      <w:tr w:rsidR="00F43586">
        <w:tc>
          <w:tcPr>
            <w:tcW w:w="567" w:type="dxa"/>
          </w:tcPr>
          <w:p w:rsidR="00F43586" w:rsidRDefault="00F435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F43586" w:rsidRDefault="00F43586">
            <w:pPr>
              <w:pStyle w:val="ConsPlusNormal"/>
            </w:pPr>
            <w:r>
              <w:t>Выполнение комплекса мер по повышению эффективности использования энергетических ресурсов на объектах социальной сферы</w:t>
            </w: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Процент предоставления бюджетными учреждениями достоверных энергетических деклараций в ГИС "Энергоэффективность"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100</w:t>
            </w:r>
          </w:p>
        </w:tc>
      </w:tr>
      <w:tr w:rsidR="00F43586">
        <w:tc>
          <w:tcPr>
            <w:tcW w:w="567" w:type="dxa"/>
            <w:vMerge w:val="restart"/>
            <w:tcBorders>
              <w:bottom w:val="nil"/>
            </w:tcBorders>
          </w:tcPr>
          <w:p w:rsidR="00F43586" w:rsidRDefault="00F435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F43586" w:rsidRDefault="00F43586">
            <w:pPr>
              <w:pStyle w:val="ConsPlusNormal"/>
            </w:pPr>
            <w:r>
              <w:t>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100</w:t>
            </w:r>
          </w:p>
        </w:tc>
      </w:tr>
      <w:tr w:rsid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50,786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50,786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51,8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57,5</w:t>
            </w:r>
          </w:p>
        </w:tc>
      </w:tr>
      <w:tr w:rsid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82,96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93</w:t>
            </w:r>
          </w:p>
        </w:tc>
      </w:tr>
      <w:tr w:rsid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Доля объема горячей воды, расчеты за которую осуществляются с использованием приборов учета, в общем объеме, воды, потребляемой (используемой) на территории муниципального образования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47,01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47,43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50,42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50,52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50,62</w:t>
            </w:r>
          </w:p>
        </w:tc>
      </w:tr>
      <w:tr w:rsid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Удельный расход тепловой энергии в многоквартирных домах (в расчете на 1 кв. м общей площади)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Гкал/кв. м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0,222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0,217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0,214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0,214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0,213</w:t>
            </w:r>
          </w:p>
        </w:tc>
      </w:tr>
      <w:tr w:rsid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куб. м/чел.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41,615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42,033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41,950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41,79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41,79</w:t>
            </w:r>
          </w:p>
        </w:tc>
      </w:tr>
      <w:tr w:rsidR="00F43586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Удельный расход горячей воды в многоквартирных домах (в расчете на 1 жителя)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куб. м/чел.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23,713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23,171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23,074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23,04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23,04</w:t>
            </w:r>
          </w:p>
        </w:tc>
      </w:tr>
      <w:tr w:rsidR="00F43586">
        <w:tc>
          <w:tcPr>
            <w:tcW w:w="567" w:type="dxa"/>
            <w:vMerge/>
            <w:tcBorders>
              <w:top w:val="nil"/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Удельный расход электрической энергии в многоквартирных домах (в расчете на 1 кв. м общей площади)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proofErr w:type="spellStart"/>
            <w:r>
              <w:t>кВтч</w:t>
            </w:r>
            <w:proofErr w:type="spellEnd"/>
            <w:r>
              <w:t>/кв. м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34,51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34,002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33,41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32,58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32,58</w:t>
            </w:r>
          </w:p>
        </w:tc>
      </w:tr>
      <w:tr w:rsidR="00F43586">
        <w:tc>
          <w:tcPr>
            <w:tcW w:w="567" w:type="dxa"/>
            <w:vMerge/>
            <w:tcBorders>
              <w:top w:val="nil"/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Удельный расход природного газа в многоквартирных домах с индивидуальными системами газового отопления (в расчете на 1 кв. м общей площади)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тыс. куб. м/кв. м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0,02</w:t>
            </w:r>
          </w:p>
        </w:tc>
      </w:tr>
      <w:tr w:rsidR="00F43586">
        <w:tc>
          <w:tcPr>
            <w:tcW w:w="567" w:type="dxa"/>
            <w:vMerge/>
            <w:tcBorders>
              <w:top w:val="nil"/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тыс. куб. м/чел.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0,127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0,134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0,134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0,134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0,134</w:t>
            </w:r>
          </w:p>
        </w:tc>
      </w:tr>
      <w:tr w:rsidR="00F43586">
        <w:tc>
          <w:tcPr>
            <w:tcW w:w="567" w:type="dxa"/>
            <w:vMerge/>
            <w:tcBorders>
              <w:top w:val="nil"/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 xml:space="preserve">Удельный суммарный расход </w:t>
            </w:r>
            <w:r>
              <w:lastRenderedPageBreak/>
              <w:t>энергетических ресурсов в многоквартирных домах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lastRenderedPageBreak/>
              <w:t xml:space="preserve">т </w:t>
            </w:r>
            <w:proofErr w:type="spellStart"/>
            <w:r>
              <w:t>у.т</w:t>
            </w:r>
            <w:proofErr w:type="spellEnd"/>
            <w:r>
              <w:t>./кв. м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0,03633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0,035452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0,03542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0,03539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0,03534</w:t>
            </w:r>
          </w:p>
        </w:tc>
      </w:tr>
      <w:tr w:rsidR="00F43586">
        <w:tc>
          <w:tcPr>
            <w:tcW w:w="567" w:type="dxa"/>
            <w:vMerge/>
            <w:tcBorders>
              <w:top w:val="nil"/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Количество МКД, оснащенных общедомовыми приборами учета тепловой энергии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567</w:t>
            </w:r>
          </w:p>
        </w:tc>
      </w:tr>
      <w:tr w:rsidR="00F43586">
        <w:tc>
          <w:tcPr>
            <w:tcW w:w="567" w:type="dxa"/>
            <w:vMerge/>
            <w:tcBorders>
              <w:top w:val="nil"/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Доля МКД, оснащенных общедомовыми приборами учета тепловой энергии, от количества МКД, в которых имеется возможность установки ОДПУ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92,76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93,47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95,23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97,00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100</w:t>
            </w:r>
          </w:p>
        </w:tc>
      </w:tr>
      <w:tr w:rsidR="00F43586">
        <w:tc>
          <w:tcPr>
            <w:tcW w:w="567" w:type="dxa"/>
            <w:vMerge/>
            <w:tcBorders>
              <w:top w:val="nil"/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Количество МКД, оснащенных общедомовыми расходомерами на холодную воду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408</w:t>
            </w:r>
          </w:p>
        </w:tc>
      </w:tr>
      <w:tr w:rsidR="00F43586">
        <w:tc>
          <w:tcPr>
            <w:tcW w:w="567" w:type="dxa"/>
            <w:vMerge w:val="restart"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Доля МКД, оснащенных общедомовыми расходомерами на холодную воду, от количества МКД, в которых имеется возможность установки, ОДПУ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98,04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98,53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99,26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99,51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100</w:t>
            </w:r>
          </w:p>
        </w:tc>
      </w:tr>
      <w:tr w:rsidR="00F43586">
        <w:tc>
          <w:tcPr>
            <w:tcW w:w="567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Количество МКД, оснащенных общедомовыми приборами учета электрической энергии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1344</w:t>
            </w:r>
          </w:p>
        </w:tc>
      </w:tr>
      <w:tr w:rsidR="00F43586">
        <w:tc>
          <w:tcPr>
            <w:tcW w:w="567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Доля МКД, оснащенных общедомовыми приборами учета электрической энергии, от количества МКД, в которых имеется возможность установки ОДПУ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100</w:t>
            </w:r>
          </w:p>
        </w:tc>
      </w:tr>
      <w:tr w:rsidR="00F43586">
        <w:tc>
          <w:tcPr>
            <w:tcW w:w="567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Количество индивидуальных приборов учета энергоресурсов, установленных в муниципальных жилых помещениях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1942</w:t>
            </w:r>
          </w:p>
        </w:tc>
      </w:tr>
      <w:tr w:rsid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vMerge w:val="restart"/>
          </w:tcPr>
          <w:p w:rsidR="00F43586" w:rsidRDefault="00F43586">
            <w:pPr>
              <w:pStyle w:val="ConsPlusNormal"/>
            </w:pPr>
            <w:r>
              <w:t xml:space="preserve">Выполнению комплекса </w:t>
            </w:r>
            <w:r>
              <w:lastRenderedPageBreak/>
              <w:t>мер по повышению энергетической эффективности в системах коммунальной инфраструктуры</w:t>
            </w: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lastRenderedPageBreak/>
              <w:t xml:space="preserve">Удельный расход топлива на выработку </w:t>
            </w:r>
            <w:r>
              <w:lastRenderedPageBreak/>
              <w:t>тепловой энергии на котельных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lastRenderedPageBreak/>
              <w:t xml:space="preserve">т </w:t>
            </w:r>
            <w:proofErr w:type="spellStart"/>
            <w:r>
              <w:t>у.т</w:t>
            </w:r>
            <w:proofErr w:type="spellEnd"/>
            <w:r>
              <w:t>./Гкал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0,15899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0,15898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0,15898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0,15898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0,15898</w:t>
            </w:r>
          </w:p>
        </w:tc>
      </w:tr>
      <w:tr w:rsid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Удельный расход электрической энергии, используемой при передаче тепловой энергий в системах теплоснабжения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proofErr w:type="spellStart"/>
            <w:r>
              <w:t>кВтч</w:t>
            </w:r>
            <w:proofErr w:type="spellEnd"/>
            <w:r>
              <w:t>/куб. м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0,56</w:t>
            </w:r>
          </w:p>
        </w:tc>
      </w:tr>
      <w:tr w:rsid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21,10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20,80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20,50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20,20</w:t>
            </w:r>
          </w:p>
        </w:tc>
      </w:tr>
      <w:tr w:rsid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Доля потерь воды при ее передаче в общем объеме переданной воды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20</w:t>
            </w:r>
          </w:p>
        </w:tc>
      </w:tr>
      <w:tr w:rsid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Удельный расход электрической энергии, используемой для передачи (транспортировки) воды в системах водоснабжения (на 1 куб. м)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 xml:space="preserve">тыс. </w:t>
            </w:r>
            <w:proofErr w:type="spellStart"/>
            <w:r>
              <w:t>кВтч</w:t>
            </w:r>
            <w:proofErr w:type="spellEnd"/>
            <w:r>
              <w:t>/тыс. куб. м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0,44</w:t>
            </w:r>
          </w:p>
        </w:tc>
      </w:tr>
      <w:tr w:rsid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Удельный расход электрической энергии, используемой в системах водоотведения (на 1 куб. м)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r>
              <w:t xml:space="preserve">тыс. </w:t>
            </w:r>
            <w:proofErr w:type="spellStart"/>
            <w:r>
              <w:t>кВтч</w:t>
            </w:r>
            <w:proofErr w:type="spellEnd"/>
            <w:r>
              <w:t>/куб. м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0,71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0,71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0,71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0,71</w:t>
            </w:r>
          </w:p>
        </w:tc>
      </w:tr>
      <w:tr w:rsid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551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4025" w:type="dxa"/>
          </w:tcPr>
          <w:p w:rsidR="00F43586" w:rsidRDefault="00F43586">
            <w:pPr>
              <w:pStyle w:val="ConsPlusNormal"/>
            </w:pPr>
            <w:r>
              <w:t>Удельный расход электрической энергии в системах уличного освещения (на 1 кв. м освещаемой площади с уровнем освещенности, соответствующим установленным нормативам)</w:t>
            </w:r>
          </w:p>
        </w:tc>
        <w:tc>
          <w:tcPr>
            <w:tcW w:w="1247" w:type="dxa"/>
          </w:tcPr>
          <w:p w:rsidR="00F43586" w:rsidRDefault="00F43586">
            <w:pPr>
              <w:pStyle w:val="ConsPlusNormal"/>
              <w:jc w:val="center"/>
            </w:pPr>
            <w:proofErr w:type="spellStart"/>
            <w:r>
              <w:t>кВтч</w:t>
            </w:r>
            <w:proofErr w:type="spellEnd"/>
            <w:r>
              <w:t>/кв. м</w:t>
            </w:r>
          </w:p>
        </w:tc>
        <w:tc>
          <w:tcPr>
            <w:tcW w:w="1134" w:type="dxa"/>
          </w:tcPr>
          <w:p w:rsidR="00F43586" w:rsidRDefault="00F43586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013" w:type="dxa"/>
          </w:tcPr>
          <w:p w:rsidR="00F43586" w:rsidRDefault="00F43586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015" w:type="dxa"/>
          </w:tcPr>
          <w:p w:rsidR="00F43586" w:rsidRDefault="00F43586">
            <w:pPr>
              <w:pStyle w:val="ConsPlusNormal"/>
              <w:jc w:val="center"/>
            </w:pPr>
            <w:r>
              <w:t>1,7</w:t>
            </w:r>
          </w:p>
        </w:tc>
      </w:tr>
    </w:tbl>
    <w:p w:rsidR="00F43586" w:rsidRDefault="00F43586">
      <w:pPr>
        <w:pStyle w:val="ConsPlusNormal"/>
        <w:sectPr w:rsidR="00F4358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43586" w:rsidRDefault="00F43586">
      <w:pPr>
        <w:pStyle w:val="ConsPlusTitle"/>
        <w:jc w:val="center"/>
        <w:outlineLvl w:val="1"/>
      </w:pPr>
      <w:r>
        <w:lastRenderedPageBreak/>
        <w:t>7. Перечень мероприятий Программы</w:t>
      </w:r>
    </w:p>
    <w:p w:rsidR="00F43586" w:rsidRDefault="00F43586">
      <w:pPr>
        <w:pStyle w:val="ConsPlusNormal"/>
        <w:jc w:val="both"/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96"/>
        <w:gridCol w:w="2377"/>
        <w:gridCol w:w="884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1417"/>
      </w:tblGrid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N</w:t>
            </w:r>
          </w:p>
          <w:p w:rsidR="00F43586" w:rsidRDefault="00F4358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Наименование мероприятия (объекты)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 xml:space="preserve">Адрес, количественная </w:t>
            </w:r>
            <w:proofErr w:type="spellStart"/>
            <w:r>
              <w:t>хар</w:t>
            </w:r>
            <w:proofErr w:type="spellEnd"/>
            <w:r>
              <w:t>-ка, срок исполнения</w:t>
            </w:r>
          </w:p>
        </w:tc>
        <w:tc>
          <w:tcPr>
            <w:tcW w:w="7688" w:type="dxa"/>
            <w:gridSpan w:val="9"/>
          </w:tcPr>
          <w:p w:rsidR="00F43586" w:rsidRDefault="00F43586">
            <w:pPr>
              <w:pStyle w:val="ConsPlusNormal"/>
              <w:jc w:val="center"/>
            </w:pPr>
            <w:r>
              <w:t>Объемы финансирования (млн. руб.) по годам</w:t>
            </w: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701" w:type="dxa"/>
            <w:gridSpan w:val="2"/>
          </w:tcPr>
          <w:p w:rsidR="00F43586" w:rsidRDefault="00F4358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01" w:type="dxa"/>
            <w:gridSpan w:val="2"/>
          </w:tcPr>
          <w:p w:rsidR="00F43586" w:rsidRDefault="00F4358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701" w:type="dxa"/>
            <w:gridSpan w:val="2"/>
          </w:tcPr>
          <w:p w:rsidR="00F43586" w:rsidRDefault="00F4358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701" w:type="dxa"/>
            <w:gridSpan w:val="2"/>
          </w:tcPr>
          <w:p w:rsidR="00F43586" w:rsidRDefault="00F4358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</w:tcPr>
          <w:p w:rsidR="00F43586" w:rsidRDefault="00F435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6" w:type="dxa"/>
          </w:tcPr>
          <w:p w:rsidR="00F43586" w:rsidRDefault="00F435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77" w:type="dxa"/>
          </w:tcPr>
          <w:p w:rsidR="00F43586" w:rsidRDefault="00F43586">
            <w:pPr>
              <w:pStyle w:val="ConsPlusNormal"/>
              <w:jc w:val="center"/>
            </w:pPr>
            <w:r>
              <w:t>3</w:t>
            </w:r>
            <w:bookmarkStart w:id="2" w:name="_GoBack"/>
            <w:bookmarkEnd w:id="2"/>
          </w:p>
        </w:tc>
        <w:tc>
          <w:tcPr>
            <w:tcW w:w="884" w:type="dxa"/>
          </w:tcPr>
          <w:p w:rsidR="00F43586" w:rsidRDefault="00F435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F43586" w:rsidRDefault="00F4358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F43586" w:rsidRDefault="00F43586">
            <w:pPr>
              <w:pStyle w:val="ConsPlusNormal"/>
              <w:jc w:val="center"/>
            </w:pPr>
            <w:r>
              <w:t>14</w:t>
            </w:r>
          </w:p>
        </w:tc>
      </w:tr>
      <w:tr w:rsidR="00F43586" w:rsidTr="00F43586">
        <w:tc>
          <w:tcPr>
            <w:tcW w:w="15304" w:type="dxa"/>
            <w:gridSpan w:val="14"/>
          </w:tcPr>
          <w:p w:rsidR="00F43586" w:rsidRDefault="00F43586">
            <w:pPr>
              <w:pStyle w:val="ConsPlusNormal"/>
            </w:pPr>
            <w:bookmarkStart w:id="3" w:name="P668"/>
            <w:bookmarkEnd w:id="3"/>
            <w:r>
              <w:t>7.1. Выполнение комплекса мер по повышению эффективности использования энергетических ресурсов на объектах социальной сферы</w:t>
            </w: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>Организация работы по подаче энергетических деклараций муниципальными учреждениями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>Заполнение энергетических деклараций в системе ГИС "Энергоэффективность"</w:t>
            </w:r>
          </w:p>
          <w:p w:rsidR="00F43586" w:rsidRDefault="00F43586">
            <w:pPr>
              <w:pStyle w:val="ConsPlusNormal"/>
            </w:pPr>
            <w:r>
              <w:t>Ежегодно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Подача энергетических деклараций муниципальными бюджетными учреждениями - 100%, ежегодно за отчетный год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proofErr w:type="spellStart"/>
            <w:r>
              <w:t>ДЖКХТиС</w:t>
            </w:r>
            <w:proofErr w:type="spellEnd"/>
            <w:r>
              <w:t xml:space="preserve">, учреждения ДО, УК, </w:t>
            </w:r>
            <w:proofErr w:type="spellStart"/>
            <w:r>
              <w:t>ДФКиС</w:t>
            </w:r>
            <w:proofErr w:type="spellEnd"/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>Итого по разделу 7.1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15304" w:type="dxa"/>
            <w:gridSpan w:val="14"/>
          </w:tcPr>
          <w:p w:rsidR="00F43586" w:rsidRDefault="00F43586">
            <w:pPr>
              <w:pStyle w:val="ConsPlusNormal"/>
            </w:pPr>
            <w:bookmarkStart w:id="4" w:name="P770"/>
            <w:bookmarkEnd w:id="4"/>
            <w:r>
              <w:t xml:space="preserve">7.2. Обеспечение учета используемых энергетических ресурсов и применение коллективных и индивидуальных приборов учета энергетических ресурсов при </w:t>
            </w:r>
            <w:r>
              <w:lastRenderedPageBreak/>
              <w:t>осуществлении расчетов за энергетические ресурсы в многоквартирных домах</w:t>
            </w: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 xml:space="preserve">Организация работы по определению класса </w:t>
            </w:r>
            <w:proofErr w:type="spellStart"/>
            <w:r>
              <w:t>энергоэффективности</w:t>
            </w:r>
            <w:proofErr w:type="spellEnd"/>
            <w:r>
              <w:t xml:space="preserve"> многоквартирных домов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 xml:space="preserve">Количество МКД с установленным классом </w:t>
            </w:r>
            <w:proofErr w:type="spellStart"/>
            <w:r>
              <w:t>энергоэффективности</w:t>
            </w:r>
            <w:proofErr w:type="spellEnd"/>
            <w:r>
              <w:t xml:space="preserve"> без учета вновь вводимых в эксплуатацию:</w:t>
            </w:r>
          </w:p>
          <w:p w:rsidR="00F43586" w:rsidRDefault="00F43586">
            <w:pPr>
              <w:pStyle w:val="ConsPlusNormal"/>
            </w:pPr>
            <w:r>
              <w:t>2023 г. - 4 МКД</w:t>
            </w:r>
          </w:p>
          <w:p w:rsidR="00F43586" w:rsidRDefault="00F43586">
            <w:pPr>
              <w:pStyle w:val="ConsPlusNormal"/>
            </w:pPr>
            <w:r>
              <w:t>2024 г. - 6 МКД</w:t>
            </w:r>
          </w:p>
          <w:p w:rsidR="00F43586" w:rsidRDefault="00F43586">
            <w:pPr>
              <w:pStyle w:val="ConsPlusNormal"/>
            </w:pPr>
            <w:r>
              <w:t>2025 г. - 6 МКД</w:t>
            </w:r>
          </w:p>
          <w:p w:rsidR="00F43586" w:rsidRDefault="00F43586">
            <w:pPr>
              <w:pStyle w:val="ConsPlusNormal"/>
            </w:pPr>
            <w:r>
              <w:t>2026 г. - 8 МКД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 xml:space="preserve">Присвоение класса </w:t>
            </w:r>
            <w:proofErr w:type="spellStart"/>
            <w:r>
              <w:t>энергоэффективности</w:t>
            </w:r>
            <w:proofErr w:type="spellEnd"/>
          </w:p>
          <w:p w:rsidR="00F43586" w:rsidRDefault="00F43586">
            <w:pPr>
              <w:pStyle w:val="ConsPlusNormal"/>
              <w:jc w:val="center"/>
            </w:pPr>
            <w:r>
              <w:t>2023 г. - 4 МКД</w:t>
            </w:r>
          </w:p>
          <w:p w:rsidR="00F43586" w:rsidRDefault="00F43586">
            <w:pPr>
              <w:pStyle w:val="ConsPlusNormal"/>
              <w:jc w:val="center"/>
            </w:pPr>
            <w:r>
              <w:t>2024 г. - 6 МКД</w:t>
            </w:r>
          </w:p>
          <w:p w:rsidR="00F43586" w:rsidRDefault="00F43586">
            <w:pPr>
              <w:pStyle w:val="ConsPlusNormal"/>
              <w:jc w:val="center"/>
            </w:pPr>
            <w:r>
              <w:t>2025 г. - 6 МКД</w:t>
            </w:r>
          </w:p>
          <w:p w:rsidR="00F43586" w:rsidRDefault="00F43586">
            <w:pPr>
              <w:pStyle w:val="ConsPlusNormal"/>
              <w:jc w:val="center"/>
            </w:pPr>
            <w:r>
              <w:t>2026 г. - 8 МКД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Управляющие компании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>Оплата работ по установке коллективных (общедомовых) приборов учета и регулирования потребления коммунальных ресурсов в многоквартирных домах в части помещений, находящихся в муниципальной собственности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>Оплата работ по установке ОДПУ на холодную воду в МКД 2023 г. - 27 шт.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0,598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 xml:space="preserve">Выполнение требований Федерального </w:t>
            </w:r>
            <w:hyperlink r:id="rId31">
              <w:r>
                <w:rPr>
                  <w:color w:val="0000FF"/>
                </w:rPr>
                <w:t>закона</w:t>
              </w:r>
            </w:hyperlink>
            <w:r>
              <w:t xml:space="preserve"> от 23.11.2009 N 261-ФЗ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МКУ "</w:t>
            </w:r>
            <w:proofErr w:type="spellStart"/>
            <w:r>
              <w:t>Жилкомцентр</w:t>
            </w:r>
            <w:proofErr w:type="spellEnd"/>
            <w:r>
              <w:t>", ГП ЯО "Северный водоканал"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0,598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>Оплата работ по установке ОДПУ на тепловую энергию в МКД</w:t>
            </w:r>
          </w:p>
          <w:p w:rsidR="00F43586" w:rsidRDefault="00F43586">
            <w:pPr>
              <w:pStyle w:val="ConsPlusNormal"/>
            </w:pPr>
            <w:r>
              <w:t>2023 г. - 161 шт.</w:t>
            </w:r>
          </w:p>
          <w:p w:rsidR="00F43586" w:rsidRDefault="00F43586">
            <w:pPr>
              <w:pStyle w:val="ConsPlusNormal"/>
            </w:pPr>
            <w:r>
              <w:t>2024 г. - 94 шт.</w:t>
            </w:r>
          </w:p>
          <w:p w:rsidR="00F43586" w:rsidRDefault="00F43586">
            <w:pPr>
              <w:pStyle w:val="ConsPlusNormal"/>
            </w:pPr>
            <w:r>
              <w:t>2025 г. - 94 шт.</w:t>
            </w:r>
          </w:p>
          <w:p w:rsidR="00F43586" w:rsidRDefault="00F43586">
            <w:pPr>
              <w:pStyle w:val="ConsPlusNormal"/>
            </w:pPr>
            <w:r>
              <w:t>2026 г. - 93 шт.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16,261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8,406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8,649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 xml:space="preserve">Выполнение требований Федерального </w:t>
            </w:r>
            <w:hyperlink r:id="rId32">
              <w:r>
                <w:rPr>
                  <w:color w:val="0000FF"/>
                </w:rPr>
                <w:t>закона</w:t>
              </w:r>
            </w:hyperlink>
            <w:r>
              <w:t xml:space="preserve"> от 23.11.2009 N 261-ФЗ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МКУ "</w:t>
            </w:r>
            <w:proofErr w:type="spellStart"/>
            <w:r>
              <w:t>Жилкомцентр</w:t>
            </w:r>
            <w:proofErr w:type="spellEnd"/>
            <w:r>
              <w:t>", МУП "</w:t>
            </w:r>
            <w:proofErr w:type="spellStart"/>
            <w:r>
              <w:t>Теплоэнерго</w:t>
            </w:r>
            <w:proofErr w:type="spellEnd"/>
            <w:r>
              <w:t>"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16,261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8,406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8,649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 xml:space="preserve">Оснащение </w:t>
            </w:r>
            <w:r>
              <w:lastRenderedPageBreak/>
              <w:t>индивидуальными приборами учета используемых энергетических ресурсов муниципальных жилых помещений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lastRenderedPageBreak/>
              <w:t xml:space="preserve">Установка ИЛУ </w:t>
            </w:r>
            <w:r>
              <w:lastRenderedPageBreak/>
              <w:t>используемых энергоресурсов в муниципальных жилых помещениях</w:t>
            </w:r>
          </w:p>
          <w:p w:rsidR="00F43586" w:rsidRDefault="00F43586">
            <w:pPr>
              <w:pStyle w:val="ConsPlusNormal"/>
            </w:pPr>
            <w:r>
              <w:t>2023 г. - 27 шт.</w:t>
            </w:r>
          </w:p>
          <w:p w:rsidR="00F43586" w:rsidRDefault="00F43586">
            <w:pPr>
              <w:pStyle w:val="ConsPlusNormal"/>
            </w:pPr>
            <w:r>
              <w:t>2024 г. - 85 шт.</w:t>
            </w:r>
          </w:p>
          <w:p w:rsidR="00F43586" w:rsidRDefault="00F43586">
            <w:pPr>
              <w:pStyle w:val="ConsPlusNormal"/>
            </w:pPr>
            <w:r>
              <w:t>2025 г. - 105 шт.</w:t>
            </w:r>
          </w:p>
          <w:p w:rsidR="00F43586" w:rsidRDefault="00F43586">
            <w:pPr>
              <w:pStyle w:val="ConsPlusNormal"/>
            </w:pPr>
            <w:r>
              <w:t>2026 г. - 85 шт.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lastRenderedPageBreak/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0,040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0,518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0,307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0,307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0,557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0,557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 xml:space="preserve">Выполнение </w:t>
            </w:r>
            <w:r>
              <w:lastRenderedPageBreak/>
              <w:t xml:space="preserve">требований Федерального </w:t>
            </w:r>
            <w:hyperlink r:id="rId33">
              <w:r>
                <w:rPr>
                  <w:color w:val="0000FF"/>
                </w:rPr>
                <w:t>закона</w:t>
              </w:r>
            </w:hyperlink>
            <w:r>
              <w:t xml:space="preserve"> от 23.11.2009 N 261-ФЗ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lastRenderedPageBreak/>
              <w:t xml:space="preserve">МКУ </w:t>
            </w:r>
            <w:r>
              <w:lastRenderedPageBreak/>
              <w:t>"</w:t>
            </w:r>
            <w:proofErr w:type="spellStart"/>
            <w:r>
              <w:t>Жилкомцентр</w:t>
            </w:r>
            <w:proofErr w:type="spellEnd"/>
            <w:r>
              <w:t>"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0,040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0,518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0,307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0,307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0,557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0,557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>Внедрение энергосберегающих светильников с установкой датчиков движения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 xml:space="preserve">ул. Димитрова, 4, Инженерная ул., 22, 36, ул. Пушкина, 47, Солнечная ул., 6, ул. М. Горького, 88, 78, ул. Гагарина, 33а, пр. Ленина, 154в, ул. Приборостроителей, 36, ул. Луначарского, 27, ул. 9 Мая, 23, Ясельная ул., 3, ул. </w:t>
            </w:r>
            <w:proofErr w:type="spellStart"/>
            <w:r>
              <w:t>Костычева</w:t>
            </w:r>
            <w:proofErr w:type="spellEnd"/>
            <w:r>
              <w:t xml:space="preserve">, 4, </w:t>
            </w:r>
            <w:proofErr w:type="spellStart"/>
            <w:r>
              <w:t>Полиграфская</w:t>
            </w:r>
            <w:proofErr w:type="spellEnd"/>
            <w:r>
              <w:t xml:space="preserve"> ул., 7, ул. Куйбышева, 66а, ул. </w:t>
            </w:r>
            <w:proofErr w:type="spellStart"/>
            <w:r>
              <w:t>Вихарева</w:t>
            </w:r>
            <w:proofErr w:type="spellEnd"/>
            <w:r>
              <w:t xml:space="preserve">, 14, 16, ул. Ворошилова, 34, </w:t>
            </w:r>
            <w:proofErr w:type="spellStart"/>
            <w:r>
              <w:t>Ошурковская</w:t>
            </w:r>
            <w:proofErr w:type="spellEnd"/>
            <w:r>
              <w:t xml:space="preserve"> ул., 22.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2023 - 2026 гг.</w:t>
            </w:r>
          </w:p>
          <w:p w:rsidR="00F43586" w:rsidRDefault="00F43586">
            <w:pPr>
              <w:pStyle w:val="ConsPlusNormal"/>
            </w:pPr>
            <w:r>
              <w:t>Сметная стоимость 4,025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Экономия электрической энергии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Управляющие компании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1,443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1,443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1,070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0,840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1,443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1,443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1,070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0,840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 xml:space="preserve">Утепление </w:t>
            </w:r>
            <w:r>
              <w:lastRenderedPageBreak/>
              <w:t>входных дверей и окон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lastRenderedPageBreak/>
              <w:t xml:space="preserve">ул. Буксирная 22, </w:t>
            </w:r>
            <w:r>
              <w:lastRenderedPageBreak/>
              <w:t xml:space="preserve">Вокзальная ул. 27, ул. Дмитрова, 4, ул. Радищева, 1, ул. Свободы 10,7, Солнечная ул. 6, ул. </w:t>
            </w:r>
            <w:proofErr w:type="spellStart"/>
            <w:r>
              <w:t>Вихарева</w:t>
            </w:r>
            <w:proofErr w:type="spellEnd"/>
            <w:r>
              <w:t xml:space="preserve"> 3а, ул. Серафимовича 9, Рабкоровская ул. 21, </w:t>
            </w:r>
            <w:proofErr w:type="spellStart"/>
            <w:r>
              <w:t>Карякинская</w:t>
            </w:r>
            <w:proofErr w:type="spellEnd"/>
            <w:r>
              <w:t xml:space="preserve"> 106, ул. Куйбышева 66, 66а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2023 - 2026 гг.</w:t>
            </w:r>
          </w:p>
          <w:p w:rsidR="00F43586" w:rsidRDefault="00F43586">
            <w:pPr>
              <w:pStyle w:val="ConsPlusNormal"/>
            </w:pPr>
            <w:r>
              <w:t>Сметная стоимость 3,095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lastRenderedPageBreak/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 xml:space="preserve">Уменьшение </w:t>
            </w:r>
            <w:r>
              <w:lastRenderedPageBreak/>
              <w:t>потерь тепловой энергии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lastRenderedPageBreak/>
              <w:t>Управляющи</w:t>
            </w:r>
            <w:r>
              <w:lastRenderedPageBreak/>
              <w:t>е компании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1,439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1,439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0,550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1,439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1,439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0,550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0,65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>Восстановление и ремонт теплоизоляции на внутренних сетях отопления и ГВС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 xml:space="preserve">ул. 50 лет Октября 50, 42, ул. Куйбышева 66, </w:t>
            </w:r>
            <w:proofErr w:type="spellStart"/>
            <w:r>
              <w:t>Карякинская</w:t>
            </w:r>
            <w:proofErr w:type="spellEnd"/>
            <w:r>
              <w:t xml:space="preserve"> ул. 106, Вокзальная ул. 27, ул. Пушкина 47, ул. Коминтерна 19, Молодежная ул. 8, </w:t>
            </w:r>
            <w:proofErr w:type="spellStart"/>
            <w:r>
              <w:t>Ошурковская</w:t>
            </w:r>
            <w:proofErr w:type="spellEnd"/>
            <w:r>
              <w:t xml:space="preserve"> ул. 7а, 22,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2023 - 2026 гг.</w:t>
            </w:r>
          </w:p>
          <w:p w:rsidR="00F43586" w:rsidRDefault="00F43586">
            <w:pPr>
              <w:pStyle w:val="ConsPlusNormal"/>
            </w:pPr>
            <w:r>
              <w:t>Сметная стоимость 0,8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Уменьшение потерь тепловой энергии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Управляющие компании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0,220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0,220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0,220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0,220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>Утепление фасадов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proofErr w:type="spellStart"/>
            <w:r>
              <w:t>Ошурковскя</w:t>
            </w:r>
            <w:proofErr w:type="spellEnd"/>
            <w:r>
              <w:t xml:space="preserve"> ул. 7а, 22, Инженерная ул. 5а, 22, </w:t>
            </w:r>
            <w:r>
              <w:lastRenderedPageBreak/>
              <w:t xml:space="preserve">ул. </w:t>
            </w:r>
            <w:proofErr w:type="spellStart"/>
            <w:r>
              <w:t>Костычева</w:t>
            </w:r>
            <w:proofErr w:type="spellEnd"/>
            <w:r>
              <w:t xml:space="preserve"> 4, Солнечная ул. 7а, ул. Волжская Набережная 1756, ул. Коминтерна 19, ул. </w:t>
            </w:r>
            <w:proofErr w:type="spellStart"/>
            <w:r>
              <w:t>Вихарева</w:t>
            </w:r>
            <w:proofErr w:type="spellEnd"/>
            <w:r>
              <w:t xml:space="preserve"> 14, 16, ул. Чебышева 23а, пр. Г. </w:t>
            </w:r>
            <w:proofErr w:type="spellStart"/>
            <w:r>
              <w:t>Батова</w:t>
            </w:r>
            <w:proofErr w:type="spellEnd"/>
            <w:r>
              <w:t xml:space="preserve"> 58,60, Февральская ул. 5, ул. Свободы 10 Срок выполнения мероприятия 2023 - 2026 гг.</w:t>
            </w:r>
          </w:p>
          <w:p w:rsidR="00F43586" w:rsidRDefault="00F43586">
            <w:pPr>
              <w:pStyle w:val="ConsPlusNormal"/>
            </w:pPr>
            <w:r>
              <w:t>Сметная стоимость 3,979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lastRenderedPageBreak/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 xml:space="preserve">Экономия тепловой </w:t>
            </w:r>
            <w:r>
              <w:lastRenderedPageBreak/>
              <w:t>энергии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lastRenderedPageBreak/>
              <w:t>Управляющие компании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1,144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1,144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0,820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0,850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1,144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1,144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0,820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0,850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0,57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>Замена ветхих и аварийных внутридомовых систем тепло-, водо-, электроснабжения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 xml:space="preserve">Луговая ул. 1, 3, Инженерная ул. 22, ул. Свободы 7, 10, ул. М. Горького 78, 3-я </w:t>
            </w:r>
            <w:proofErr w:type="spellStart"/>
            <w:r>
              <w:t>Осиповская</w:t>
            </w:r>
            <w:proofErr w:type="spellEnd"/>
            <w:r>
              <w:t xml:space="preserve"> ул. 10, Южная ул. 22, В. Набережная 175б, 197, ул. Куйбышева 53, ул. Приборостроителей 36, Глазурная ул. 28, ул. Коминтерна 19, ул. Кораблестроителей, 8, </w:t>
            </w:r>
            <w:proofErr w:type="spellStart"/>
            <w:r>
              <w:t>Карякинская</w:t>
            </w:r>
            <w:proofErr w:type="spellEnd"/>
            <w:r>
              <w:t xml:space="preserve"> ул. 106, ул. </w:t>
            </w:r>
            <w:proofErr w:type="spellStart"/>
            <w:r>
              <w:t>Костычева</w:t>
            </w:r>
            <w:proofErr w:type="spellEnd"/>
            <w:r>
              <w:t xml:space="preserve"> 4, ул. Пушкина 47, ул. Ак. Губкина 3в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2023 - 2026 гг.</w:t>
            </w:r>
          </w:p>
          <w:p w:rsidR="00F43586" w:rsidRDefault="00F43586">
            <w:pPr>
              <w:pStyle w:val="ConsPlusNormal"/>
            </w:pPr>
            <w:r>
              <w:lastRenderedPageBreak/>
              <w:t>Сметная стоимость 51,7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lastRenderedPageBreak/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Экономия энергоресурсов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Управляющие компании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4,515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12,917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15,450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14,280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4,515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12,917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15,450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14,280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</w:pPr>
          </w:p>
        </w:tc>
        <w:tc>
          <w:tcPr>
            <w:tcW w:w="4073" w:type="dxa"/>
            <w:gridSpan w:val="2"/>
            <w:vMerge w:val="restart"/>
          </w:tcPr>
          <w:p w:rsidR="00F43586" w:rsidRDefault="00F43586">
            <w:pPr>
              <w:pStyle w:val="ConsPlusNormal"/>
            </w:pPr>
            <w:r>
              <w:t>Итого по разделу 7.2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0,040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17,377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0,307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8,713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0,557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9,091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4073" w:type="dxa"/>
            <w:gridSpan w:val="2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4073" w:type="dxa"/>
            <w:gridSpan w:val="2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4073" w:type="dxa"/>
            <w:gridSpan w:val="2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8,761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17,163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18,090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16,770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9,080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4073" w:type="dxa"/>
            <w:gridSpan w:val="2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8,801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34,540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0,307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26,803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0,095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25,861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9,425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15304" w:type="dxa"/>
            <w:gridSpan w:val="14"/>
          </w:tcPr>
          <w:p w:rsidR="00F43586" w:rsidRDefault="00F43586">
            <w:pPr>
              <w:pStyle w:val="ConsPlusNormal"/>
            </w:pPr>
            <w:r>
              <w:t>7.3. Выполнение комплекса мер по повышению энергетической эффективности в системах коммунальной инфраструктуры</w:t>
            </w: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bookmarkStart w:id="5" w:name="P1294"/>
            <w:bookmarkEnd w:id="5"/>
            <w:r>
              <w:t>1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>Реконструкция котельных с переводом паровых котлов в водогрейный режим работы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>Котельная "Слип"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2023 г.</w:t>
            </w:r>
          </w:p>
          <w:p w:rsidR="00F43586" w:rsidRDefault="00F43586">
            <w:pPr>
              <w:pStyle w:val="ConsPlusNormal"/>
            </w:pPr>
            <w:r>
              <w:t>Сметная стоимость 14,500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Снижение потребления природного газа при выработке тепловой энергии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ООО "Рыбинская генерация"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14,500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14,500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>Котельная "Тема"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2023 г.</w:t>
            </w:r>
          </w:p>
          <w:p w:rsidR="00F43586" w:rsidRDefault="00F43586">
            <w:pPr>
              <w:pStyle w:val="ConsPlusNormal"/>
            </w:pPr>
            <w:r>
              <w:t>Сметная стоимость 14,500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Снижение потребления природного газа при выработке тепловой энергии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ООО "Рыбинская генерация"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14,500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14,500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 xml:space="preserve">Котельная </w:t>
            </w:r>
            <w:r>
              <w:lastRenderedPageBreak/>
              <w:t>"Сельхозтехника"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2024 г.</w:t>
            </w:r>
          </w:p>
          <w:p w:rsidR="00F43586" w:rsidRDefault="00F43586">
            <w:pPr>
              <w:pStyle w:val="ConsPlusNormal"/>
            </w:pPr>
            <w:r>
              <w:t>Сметная стоимость 15,760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lastRenderedPageBreak/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 xml:space="preserve">Снижение </w:t>
            </w:r>
            <w:r>
              <w:lastRenderedPageBreak/>
              <w:t>потребления природного газа при выработке тепловой энергии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"Рыбинская генерация"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15,760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15,760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>Реконструкция котельной "Полиграф" включая ХВО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>Котельная "Полиграф"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2022 - 2024 гг.</w:t>
            </w:r>
          </w:p>
          <w:p w:rsidR="00F43586" w:rsidRDefault="00F43586">
            <w:pPr>
              <w:pStyle w:val="ConsPlusNormal"/>
            </w:pPr>
            <w:r>
              <w:t>Сметная стоимость 43,03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Снижение потребления природного газа и электроэнергии при выработке тепловой энергии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ООО "Рыбинская генерация"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10,02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9,100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10,02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9,100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>Строительство новой котельной в районе земельного участка по пр. Октября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>г. Рыбинск, пр. Октября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2024 - 2027 гг.</w:t>
            </w:r>
          </w:p>
          <w:p w:rsidR="00F43586" w:rsidRDefault="00F43586">
            <w:pPr>
              <w:pStyle w:val="ConsPlusNormal"/>
            </w:pPr>
            <w:r>
              <w:t>Сметная стоимость 216,848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Снижение потребления природного газа и электроэнергии при выработке тепловой энергии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ООО "Рыбинская генерация"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13,770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71,460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131,618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13,770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71,460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131,618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 xml:space="preserve">Строительство новой </w:t>
            </w:r>
            <w:proofErr w:type="spellStart"/>
            <w:r>
              <w:t>блочно</w:t>
            </w:r>
            <w:proofErr w:type="spellEnd"/>
            <w:r>
              <w:t xml:space="preserve">-модульной котельной в районе земельного </w:t>
            </w:r>
            <w:r>
              <w:lastRenderedPageBreak/>
              <w:t>участка по ул. М. Горького, д. 57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lastRenderedPageBreak/>
              <w:t>г. Рыбинск, ул. М. Горького д. 57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2024 - 2026 гг.</w:t>
            </w:r>
          </w:p>
          <w:p w:rsidR="00F43586" w:rsidRDefault="00F43586">
            <w:pPr>
              <w:pStyle w:val="ConsPlusNormal"/>
            </w:pPr>
            <w:r>
              <w:t xml:space="preserve">Сметная стоимость </w:t>
            </w:r>
            <w:r>
              <w:lastRenderedPageBreak/>
              <w:t>87,842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lastRenderedPageBreak/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 xml:space="preserve">Снижение потребления природного газа и электроэнергии при </w:t>
            </w:r>
            <w:r>
              <w:lastRenderedPageBreak/>
              <w:t>выработке тепловой энергии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lastRenderedPageBreak/>
              <w:t>ООО "Рыбинская генерация"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28,010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32,456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27,376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28,010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32,456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27,376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 xml:space="preserve">Строительство новой </w:t>
            </w:r>
            <w:proofErr w:type="spellStart"/>
            <w:r>
              <w:t>блочно</w:t>
            </w:r>
            <w:proofErr w:type="spellEnd"/>
            <w:r>
              <w:t>-модульной котельной в районе земельного участка по Нобелевской ул. д. 3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>г. Рыбинск, Нобелевская ул., д. 3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2023 гг.</w:t>
            </w:r>
          </w:p>
          <w:p w:rsidR="00F43586" w:rsidRDefault="00F43586">
            <w:pPr>
              <w:pStyle w:val="ConsPlusNormal"/>
            </w:pPr>
            <w:r>
              <w:t>Сметная стоимость 23,051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Снижение потребления природного газа и электроэнергии при выработке тепловой энергии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ООО "Рыбинская генерация"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23,051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23,051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>Реконструкция котельной "Софьи Перовской" с установкой котла ГВС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>Котельная "Софьи Перовской"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2024 гг.</w:t>
            </w:r>
          </w:p>
          <w:p w:rsidR="00F43586" w:rsidRDefault="00F43586">
            <w:pPr>
              <w:pStyle w:val="ConsPlusNormal"/>
            </w:pPr>
            <w:r>
              <w:t>Сметная стоимость 28,888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ТВ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Переключение нагрузок котельной ул. С. Перовской и бойлерных ООО "Раскат РОС"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ООО "Рыбинская генерация"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28,888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28,888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>Реконструкция магистральных тепловых сетей котельных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>Котельная "Волжский" от ТК-47 до ТК-97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2023 гг.</w:t>
            </w:r>
          </w:p>
          <w:p w:rsidR="00F43586" w:rsidRDefault="00F43586">
            <w:pPr>
              <w:pStyle w:val="ConsPlusNormal"/>
            </w:pPr>
            <w:r>
              <w:t>Сметная стоимость 11,441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Снижение величины технологических потерь при передаче тепловой энергии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ООО "Рыбинская генерация"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11,441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11,441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 xml:space="preserve">Котельная "Переборы" </w:t>
            </w:r>
            <w:r>
              <w:lastRenderedPageBreak/>
              <w:t>от ТК-1 до ТК-10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2023 - 2024 гг.</w:t>
            </w:r>
          </w:p>
          <w:p w:rsidR="00F43586" w:rsidRDefault="00F43586">
            <w:pPr>
              <w:pStyle w:val="ConsPlusNormal"/>
            </w:pPr>
            <w:r>
              <w:t>Сметная стоимость 31,121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lastRenderedPageBreak/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 xml:space="preserve">Снижение </w:t>
            </w:r>
            <w:r>
              <w:lastRenderedPageBreak/>
              <w:t>величины технологических потерь при передаче тепловой энергии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lastRenderedPageBreak/>
              <w:t xml:space="preserve">ООО </w:t>
            </w:r>
            <w:r>
              <w:lastRenderedPageBreak/>
              <w:t>"Рыбинская генерация"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0,088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12,904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18,217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0,088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12,904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12,904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 xml:space="preserve">От котельной ОДК "Сатурн" до ЦТП на ул. </w:t>
            </w:r>
            <w:proofErr w:type="spellStart"/>
            <w:r>
              <w:t>Рапова</w:t>
            </w:r>
            <w:proofErr w:type="spellEnd"/>
          </w:p>
          <w:p w:rsidR="00F43586" w:rsidRDefault="00F43586">
            <w:pPr>
              <w:pStyle w:val="ConsPlusNormal"/>
            </w:pPr>
            <w:r>
              <w:t>Срок выполнения мероприятия 2024 г.</w:t>
            </w:r>
          </w:p>
          <w:p w:rsidR="00F43586" w:rsidRDefault="00F43586">
            <w:pPr>
              <w:pStyle w:val="ConsPlusNormal"/>
            </w:pPr>
            <w:r>
              <w:t>Сметная стоимость 11,749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Снижение величины технологических потерь при передаче тепловой энергии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ООО "Рыбинская генерация"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11,749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11,749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96" w:type="dxa"/>
            <w:vMerge w:val="restart"/>
          </w:tcPr>
          <w:p w:rsidR="00F43586" w:rsidRDefault="00F43586">
            <w:pPr>
              <w:pStyle w:val="ConsPlusNormal"/>
            </w:pPr>
            <w:r>
              <w:t xml:space="preserve">Режимная наладка тепловых сетей районов Центральный, Западный, </w:t>
            </w:r>
            <w:proofErr w:type="spellStart"/>
            <w:r>
              <w:t>Переборский</w:t>
            </w:r>
            <w:proofErr w:type="spellEnd"/>
            <w:r>
              <w:t>. Замена Насосов и другого теплоэнергетического оборудования, определенного наладкой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 xml:space="preserve">г. Рыбинск Центральный, Западный, </w:t>
            </w:r>
            <w:proofErr w:type="spellStart"/>
            <w:r>
              <w:t>Переборский</w:t>
            </w:r>
            <w:proofErr w:type="spellEnd"/>
            <w:r>
              <w:t xml:space="preserve"> районы.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2023 - 2025 г.</w:t>
            </w:r>
          </w:p>
          <w:p w:rsidR="00F43586" w:rsidRDefault="00F43586">
            <w:pPr>
              <w:pStyle w:val="ConsPlusNormal"/>
            </w:pPr>
            <w:r>
              <w:t>Сметная стоимость 6,629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Снижение потребления природного газа и электроэнергии при выработке тепловой энергии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>ООО "Рыбинская генерация"</w:t>
            </w: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ОБ: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3,342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3,342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3,342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0,051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3,342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3,342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3,342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0,051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  <w:tcBorders>
              <w:bottom w:val="nil"/>
            </w:tcBorders>
          </w:tcPr>
          <w:p w:rsidR="00F43586" w:rsidRDefault="00F43586">
            <w:pPr>
              <w:pStyle w:val="ConsPlusNormal"/>
              <w:jc w:val="center"/>
            </w:pPr>
            <w:bookmarkStart w:id="6" w:name="P1912"/>
            <w:bookmarkEnd w:id="6"/>
            <w:r>
              <w:t>9</w:t>
            </w:r>
          </w:p>
        </w:tc>
        <w:tc>
          <w:tcPr>
            <w:tcW w:w="1696" w:type="dxa"/>
            <w:vMerge w:val="restart"/>
            <w:tcBorders>
              <w:bottom w:val="nil"/>
            </w:tcBorders>
          </w:tcPr>
          <w:p w:rsidR="00F43586" w:rsidRDefault="00F43586">
            <w:pPr>
              <w:pStyle w:val="ConsPlusNormal"/>
            </w:pPr>
            <w:r>
              <w:t xml:space="preserve">Реконструкция узлов тепловой </w:t>
            </w:r>
            <w:r>
              <w:lastRenderedPageBreak/>
              <w:t>энергии на котельных</w:t>
            </w: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lastRenderedPageBreak/>
              <w:t>Котельная "Волжский"</w:t>
            </w:r>
          </w:p>
          <w:p w:rsidR="00F43586" w:rsidRDefault="00F43586">
            <w:pPr>
              <w:pStyle w:val="ConsPlusNormal"/>
            </w:pPr>
            <w:r>
              <w:t xml:space="preserve">Срок выполнения </w:t>
            </w:r>
            <w:r>
              <w:lastRenderedPageBreak/>
              <w:t>мероприятия 2023 г.</w:t>
            </w:r>
          </w:p>
          <w:p w:rsidR="00F43586" w:rsidRDefault="00F43586">
            <w:pPr>
              <w:pStyle w:val="ConsPlusNormal"/>
            </w:pPr>
            <w:r>
              <w:t>Сметная стоимость 8,632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lastRenderedPageBreak/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t xml:space="preserve">Выполнение требований </w:t>
            </w:r>
            <w:r>
              <w:lastRenderedPageBreak/>
              <w:t xml:space="preserve">Федерального </w:t>
            </w:r>
            <w:hyperlink r:id="rId34">
              <w:r>
                <w:rPr>
                  <w:color w:val="0000FF"/>
                </w:rPr>
                <w:t>закона</w:t>
              </w:r>
            </w:hyperlink>
            <w:r>
              <w:t xml:space="preserve"> от 23.11.2009 N 261-ФЗ</w:t>
            </w: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  <w:jc w:val="center"/>
            </w:pPr>
            <w:r>
              <w:lastRenderedPageBreak/>
              <w:t xml:space="preserve">ООО "Рыбинская </w:t>
            </w:r>
            <w:r>
              <w:lastRenderedPageBreak/>
              <w:t>генерация"</w:t>
            </w: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8,632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8,632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>Котельная "С. Перовской"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2023 г.</w:t>
            </w:r>
          </w:p>
          <w:p w:rsidR="00F43586" w:rsidRDefault="00F43586">
            <w:pPr>
              <w:pStyle w:val="ConsPlusNormal"/>
            </w:pPr>
            <w:r>
              <w:t>Сметная стоимость 1,831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"ГБ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1,831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1,831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>Котельная "Призма"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2025 г.</w:t>
            </w:r>
          </w:p>
          <w:p w:rsidR="00F43586" w:rsidRDefault="00F43586">
            <w:pPr>
              <w:pStyle w:val="ConsPlusNormal"/>
            </w:pPr>
            <w:r>
              <w:t>Сметная стоимость 3,205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3,205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3,205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>Котельная "Сельхозтехника"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2024 г.</w:t>
            </w:r>
          </w:p>
          <w:p w:rsidR="00F43586" w:rsidRDefault="00F43586">
            <w:pPr>
              <w:pStyle w:val="ConsPlusNormal"/>
            </w:pPr>
            <w:r>
              <w:t>Сметная стоимость 1,099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1,099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bottom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1,099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 w:val="restart"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>Котельная "Стоялая"</w:t>
            </w:r>
          </w:p>
          <w:p w:rsidR="00F43586" w:rsidRDefault="00F43586">
            <w:pPr>
              <w:pStyle w:val="ConsPlusNormal"/>
            </w:pPr>
            <w:r>
              <w:lastRenderedPageBreak/>
              <w:t>Срок выполнения мероприятия 2023 г.</w:t>
            </w:r>
          </w:p>
          <w:p w:rsidR="00F43586" w:rsidRDefault="00F43586">
            <w:pPr>
              <w:pStyle w:val="ConsPlusNormal"/>
            </w:pPr>
            <w:r>
              <w:t>Сметная стоимость 1,139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lastRenderedPageBreak/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1,139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1,139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>Котельная "Веретье-3"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2023 г.</w:t>
            </w:r>
          </w:p>
          <w:p w:rsidR="00F43586" w:rsidRDefault="00F43586">
            <w:pPr>
              <w:pStyle w:val="ConsPlusNormal"/>
            </w:pPr>
            <w:r>
              <w:t>Сметная стоимость 10,504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10,504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10,504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 w:val="restart"/>
          </w:tcPr>
          <w:p w:rsidR="00F43586" w:rsidRDefault="00F43586">
            <w:pPr>
              <w:pStyle w:val="ConsPlusNormal"/>
            </w:pPr>
            <w:r>
              <w:t>Котельная "Полиграф"</w:t>
            </w:r>
          </w:p>
          <w:p w:rsidR="00F43586" w:rsidRDefault="00F43586">
            <w:pPr>
              <w:pStyle w:val="ConsPlusNormal"/>
            </w:pPr>
            <w:r>
              <w:t>Срок выполнения мероприятия 2025 г.</w:t>
            </w:r>
          </w:p>
          <w:p w:rsidR="00F43586" w:rsidRDefault="00F43586">
            <w:pPr>
              <w:pStyle w:val="ConsPlusNormal"/>
            </w:pPr>
            <w:r>
              <w:t>Сметная стоимость 4,613 млн. руб.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4,613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F43586" w:rsidRDefault="00F43586">
            <w:pPr>
              <w:pStyle w:val="ConsPlusNormal"/>
            </w:pPr>
          </w:p>
        </w:tc>
        <w:tc>
          <w:tcPr>
            <w:tcW w:w="237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4,613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 w:val="restart"/>
          </w:tcPr>
          <w:p w:rsidR="00F43586" w:rsidRDefault="00F43586">
            <w:pPr>
              <w:pStyle w:val="ConsPlusNormal"/>
            </w:pPr>
          </w:p>
        </w:tc>
        <w:tc>
          <w:tcPr>
            <w:tcW w:w="4073" w:type="dxa"/>
            <w:gridSpan w:val="2"/>
            <w:vMerge w:val="restart"/>
          </w:tcPr>
          <w:p w:rsidR="00F43586" w:rsidRDefault="00F43586">
            <w:pPr>
              <w:pStyle w:val="ConsPlusNormal"/>
            </w:pPr>
            <w:r>
              <w:t>Итого по разделу 7.3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4073" w:type="dxa"/>
            <w:gridSpan w:val="2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4073" w:type="dxa"/>
            <w:gridSpan w:val="2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4073" w:type="dxa"/>
            <w:gridSpan w:val="2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3,430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111,864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124,622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111,785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158,994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567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4073" w:type="dxa"/>
            <w:gridSpan w:val="2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3,430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111,864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124,622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111,785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158,994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4640" w:type="dxa"/>
            <w:gridSpan w:val="3"/>
            <w:vMerge w:val="restart"/>
          </w:tcPr>
          <w:p w:rsidR="00F43586" w:rsidRDefault="00F43586">
            <w:pPr>
              <w:pStyle w:val="ConsPlusNormal"/>
            </w:pPr>
            <w:r>
              <w:lastRenderedPageBreak/>
              <w:t>Всего по программе</w:t>
            </w: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ГБ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0,040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17,377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0,307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8,713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0,557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9,206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1559" w:type="dxa"/>
            <w:vMerge w:val="restart"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4640" w:type="dxa"/>
            <w:gridSpan w:val="3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ОБ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4640" w:type="dxa"/>
            <w:gridSpan w:val="3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ФБ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0" w:type="dxa"/>
          </w:tcPr>
          <w:p w:rsidR="00F43586" w:rsidRDefault="00F43586">
            <w:pPr>
              <w:pStyle w:val="ConsPlusNormal"/>
            </w:pPr>
          </w:p>
        </w:tc>
        <w:tc>
          <w:tcPr>
            <w:tcW w:w="851" w:type="dxa"/>
          </w:tcPr>
          <w:p w:rsidR="00F43586" w:rsidRDefault="00F43586">
            <w:pPr>
              <w:pStyle w:val="ConsPlusNormal"/>
            </w:pP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4640" w:type="dxa"/>
            <w:gridSpan w:val="3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ВИ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12,191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129,027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142,712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128,555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168,074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  <w:tr w:rsidR="00F43586" w:rsidTr="00F43586">
        <w:tc>
          <w:tcPr>
            <w:tcW w:w="4640" w:type="dxa"/>
            <w:gridSpan w:val="3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884" w:type="dxa"/>
          </w:tcPr>
          <w:p w:rsidR="00F43586" w:rsidRDefault="00F43586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12,231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146,404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0,307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151,425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0,557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137,761</w:t>
            </w:r>
          </w:p>
        </w:tc>
        <w:tc>
          <w:tcPr>
            <w:tcW w:w="850" w:type="dxa"/>
          </w:tcPr>
          <w:p w:rsidR="00F43586" w:rsidRDefault="00F43586">
            <w:pPr>
              <w:pStyle w:val="ConsPlusNormal"/>
              <w:jc w:val="center"/>
            </w:pPr>
            <w:r>
              <w:t>0,345</w:t>
            </w:r>
          </w:p>
        </w:tc>
        <w:tc>
          <w:tcPr>
            <w:tcW w:w="851" w:type="dxa"/>
          </w:tcPr>
          <w:p w:rsidR="00F43586" w:rsidRDefault="00F43586">
            <w:pPr>
              <w:pStyle w:val="ConsPlusNormal"/>
              <w:jc w:val="center"/>
            </w:pPr>
            <w:r>
              <w:t>168,419</w:t>
            </w:r>
          </w:p>
        </w:tc>
        <w:tc>
          <w:tcPr>
            <w:tcW w:w="1559" w:type="dxa"/>
            <w:vMerge/>
          </w:tcPr>
          <w:p w:rsidR="00F43586" w:rsidRDefault="00F43586">
            <w:pPr>
              <w:pStyle w:val="ConsPlusNormal"/>
            </w:pPr>
          </w:p>
        </w:tc>
        <w:tc>
          <w:tcPr>
            <w:tcW w:w="1417" w:type="dxa"/>
            <w:vMerge/>
          </w:tcPr>
          <w:p w:rsidR="00F43586" w:rsidRDefault="00F43586">
            <w:pPr>
              <w:pStyle w:val="ConsPlusNormal"/>
            </w:pPr>
          </w:p>
        </w:tc>
      </w:tr>
    </w:tbl>
    <w:p w:rsidR="00F43586" w:rsidRDefault="00F43586">
      <w:pPr>
        <w:pStyle w:val="ConsPlusNormal"/>
        <w:sectPr w:rsidR="00F4358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Title"/>
        <w:jc w:val="center"/>
        <w:outlineLvl w:val="1"/>
      </w:pPr>
      <w:r>
        <w:t>8. Сокращения, используемые в Подпрограмме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ind w:firstLine="540"/>
        <w:jc w:val="both"/>
      </w:pPr>
      <w:r>
        <w:t>ДО - Департамент образования Администрации городского округа город Рыбинск Ярославской области;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УК - Управление культуры Администрации городского округа город Рыбинск Ярославской области;</w:t>
      </w:r>
    </w:p>
    <w:p w:rsidR="00F43586" w:rsidRDefault="00F43586">
      <w:pPr>
        <w:pStyle w:val="ConsPlusNormal"/>
        <w:spacing w:before="220"/>
        <w:ind w:firstLine="540"/>
        <w:jc w:val="both"/>
      </w:pPr>
      <w:proofErr w:type="spellStart"/>
      <w:r>
        <w:t>ДФКиС</w:t>
      </w:r>
      <w:proofErr w:type="spellEnd"/>
      <w:r>
        <w:t xml:space="preserve"> - Департамент по физической культуре и спорту Администрации городского округа город Рыбинск Ярославской области;</w:t>
      </w:r>
    </w:p>
    <w:p w:rsidR="00F43586" w:rsidRDefault="00F43586">
      <w:pPr>
        <w:pStyle w:val="ConsPlusNormal"/>
        <w:spacing w:before="220"/>
        <w:ind w:firstLine="540"/>
        <w:jc w:val="both"/>
      </w:pPr>
      <w:proofErr w:type="spellStart"/>
      <w:r>
        <w:t>ДЖКХТиС</w:t>
      </w:r>
      <w:proofErr w:type="spellEnd"/>
      <w:r>
        <w:t xml:space="preserve"> - Департамент жилищно-коммунального хозяйства, транспорта и связи Администрации городского округа город Рыбинск Ярославской области;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ГБ - бюджет городского округа город Рыбинск Ярославской области;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ОБ - бюджет Ярославской области;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ФБ - федеральный бюджет;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ВИ - внебюджетные источники;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ИПУ - индивидуальный прибор учета используемых энергетических ресурсов;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ОДПУ - общедомовой прибор учета используемых энергетических ресурсов;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МКД - многоквартирный дом;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ЦТП - центральный тепловой пункт;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ГВС - горячее водоснабжение;</w:t>
      </w:r>
    </w:p>
    <w:p w:rsidR="00F43586" w:rsidRDefault="00F43586">
      <w:pPr>
        <w:pStyle w:val="ConsPlusNormal"/>
        <w:spacing w:before="220"/>
        <w:ind w:firstLine="540"/>
        <w:jc w:val="both"/>
      </w:pPr>
      <w:r>
        <w:t>ХВО - химическая водоочистка.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jc w:val="right"/>
      </w:pPr>
      <w:r>
        <w:t>Директор Департамента</w:t>
      </w:r>
    </w:p>
    <w:p w:rsidR="00F43586" w:rsidRDefault="00F43586">
      <w:pPr>
        <w:pStyle w:val="ConsPlusNormal"/>
        <w:jc w:val="right"/>
      </w:pPr>
      <w:r>
        <w:t>ЖКХ, транспорта и связи</w:t>
      </w:r>
    </w:p>
    <w:p w:rsidR="00F43586" w:rsidRDefault="00F43586">
      <w:pPr>
        <w:pStyle w:val="ConsPlusNormal"/>
        <w:jc w:val="right"/>
      </w:pPr>
      <w:r>
        <w:t>С.М.ЦЕПИЛОВ</w:t>
      </w: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jc w:val="both"/>
      </w:pPr>
    </w:p>
    <w:p w:rsidR="00F43586" w:rsidRDefault="00F435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3586" w:rsidRDefault="00F43586"/>
    <w:sectPr w:rsidR="00F4358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86"/>
    <w:rsid w:val="00F4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30DEB-7E57-4848-AF79-D6AC1E64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5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35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35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435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435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435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435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435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36648&amp;dst=100006" TargetMode="External"/><Relationship Id="rId13" Type="http://schemas.openxmlformats.org/officeDocument/2006/relationships/hyperlink" Target="https://login.consultant.ru/link/?req=doc&amp;base=LAW&amp;n=358850&amp;dst=103280" TargetMode="External"/><Relationship Id="rId18" Type="http://schemas.openxmlformats.org/officeDocument/2006/relationships/hyperlink" Target="https://login.consultant.ru/link/?req=doc&amp;base=RLAW086&amp;n=112866" TargetMode="External"/><Relationship Id="rId26" Type="http://schemas.openxmlformats.org/officeDocument/2006/relationships/hyperlink" Target="https://login.consultant.ru/link/?req=doc&amp;base=RLAW086&amp;n=1451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12413" TargetMode="External"/><Relationship Id="rId34" Type="http://schemas.openxmlformats.org/officeDocument/2006/relationships/hyperlink" Target="https://login.consultant.ru/link/?req=doc&amp;base=LAW&amp;n=449642" TargetMode="External"/><Relationship Id="rId7" Type="http://schemas.openxmlformats.org/officeDocument/2006/relationships/hyperlink" Target="https://login.consultant.ru/link/?req=doc&amp;base=RLAW086&amp;n=133127&amp;dst=100006" TargetMode="External"/><Relationship Id="rId12" Type="http://schemas.openxmlformats.org/officeDocument/2006/relationships/hyperlink" Target="https://login.consultant.ru/link/?req=doc&amp;base=LAW&amp;n=357117" TargetMode="External"/><Relationship Id="rId17" Type="http://schemas.openxmlformats.org/officeDocument/2006/relationships/hyperlink" Target="https://login.consultant.ru/link/?req=doc&amp;base=RLAW086&amp;n=115052&amp;dst=100015" TargetMode="External"/><Relationship Id="rId25" Type="http://schemas.openxmlformats.org/officeDocument/2006/relationships/hyperlink" Target="https://login.consultant.ru/link/?req=doc&amp;base=RLAW086&amp;n=129673" TargetMode="External"/><Relationship Id="rId33" Type="http://schemas.openxmlformats.org/officeDocument/2006/relationships/hyperlink" Target="https://login.consultant.ru/link/?req=doc&amp;base=LAW&amp;n=4496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30075" TargetMode="External"/><Relationship Id="rId20" Type="http://schemas.openxmlformats.org/officeDocument/2006/relationships/hyperlink" Target="https://login.consultant.ru/link/?req=doc&amp;base=LAW&amp;n=449642" TargetMode="External"/><Relationship Id="rId29" Type="http://schemas.openxmlformats.org/officeDocument/2006/relationships/hyperlink" Target="https://login.consultant.ru/link/?req=doc&amp;base=RLAW086&amp;n=1236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27611&amp;dst=100006" TargetMode="External"/><Relationship Id="rId11" Type="http://schemas.openxmlformats.org/officeDocument/2006/relationships/hyperlink" Target="https://login.consultant.ru/link/?req=doc&amp;base=RLAW086&amp;n=148999&amp;dst=100006" TargetMode="External"/><Relationship Id="rId24" Type="http://schemas.openxmlformats.org/officeDocument/2006/relationships/hyperlink" Target="https://login.consultant.ru/link/?req=doc&amp;base=LAW&amp;n=392299" TargetMode="External"/><Relationship Id="rId32" Type="http://schemas.openxmlformats.org/officeDocument/2006/relationships/hyperlink" Target="https://login.consultant.ru/link/?req=doc&amp;base=LAW&amp;n=449642" TargetMode="External"/><Relationship Id="rId5" Type="http://schemas.openxmlformats.org/officeDocument/2006/relationships/hyperlink" Target="https://login.consultant.ru/link/?req=doc&amp;base=RLAW086&amp;n=123780&amp;dst=100006" TargetMode="External"/><Relationship Id="rId15" Type="http://schemas.openxmlformats.org/officeDocument/2006/relationships/hyperlink" Target="https://login.consultant.ru/link/?req=doc&amp;base=RLAW086&amp;n=89796" TargetMode="External"/><Relationship Id="rId23" Type="http://schemas.openxmlformats.org/officeDocument/2006/relationships/hyperlink" Target="https://login.consultant.ru/link/?req=doc&amp;base=LAW&amp;n=97672" TargetMode="External"/><Relationship Id="rId28" Type="http://schemas.openxmlformats.org/officeDocument/2006/relationships/hyperlink" Target="https://login.consultant.ru/link/?req=doc&amp;base=RLAW086&amp;n=14660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6&amp;n=143466&amp;dst=100006" TargetMode="External"/><Relationship Id="rId19" Type="http://schemas.openxmlformats.org/officeDocument/2006/relationships/hyperlink" Target="https://login.consultant.ru/link/?req=doc&amp;base=RLAW086&amp;n=148999&amp;dst=100006" TargetMode="External"/><Relationship Id="rId31" Type="http://schemas.openxmlformats.org/officeDocument/2006/relationships/hyperlink" Target="https://login.consultant.ru/link/?req=doc&amp;base=LAW&amp;n=44964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41014&amp;dst=100006" TargetMode="External"/><Relationship Id="rId14" Type="http://schemas.openxmlformats.org/officeDocument/2006/relationships/hyperlink" Target="https://login.consultant.ru/link/?req=doc&amp;base=RLAW086&amp;n=118913" TargetMode="External"/><Relationship Id="rId22" Type="http://schemas.openxmlformats.org/officeDocument/2006/relationships/hyperlink" Target="https://login.consultant.ru/link/?req=doc&amp;base=LAW&amp;n=377395" TargetMode="External"/><Relationship Id="rId27" Type="http://schemas.openxmlformats.org/officeDocument/2006/relationships/hyperlink" Target="https://login.consultant.ru/link/?req=doc&amp;base=RLAW086&amp;n=144472" TargetMode="External"/><Relationship Id="rId30" Type="http://schemas.openxmlformats.org/officeDocument/2006/relationships/hyperlink" Target="https://login.consultant.ru/link/?req=doc&amp;base=RLAW086&amp;n=109988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7968</Words>
  <Characters>45421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2024-05-22T07:09:00Z</dcterms:created>
  <dcterms:modified xsi:type="dcterms:W3CDTF">2024-05-22T07:11:00Z</dcterms:modified>
</cp:coreProperties>
</file>