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7" w:rightFromText="187" w:vertAnchor="page" w:horzAnchor="page" w:tblpX="1" w:tblpY="1"/>
        <w:tblW w:w="0" w:type="auto"/>
        <w:shd w:val="clear" w:color="auto" w:fill="FF7C80"/>
        <w:tblLook w:val="04A0"/>
      </w:tblPr>
      <w:tblGrid>
        <w:gridCol w:w="1440"/>
        <w:gridCol w:w="5614"/>
      </w:tblGrid>
      <w:tr w:rsidR="00074AB2" w:rsidTr="00074AB2">
        <w:trPr>
          <w:trHeight w:val="1440"/>
        </w:trPr>
        <w:tc>
          <w:tcPr>
            <w:tcW w:w="1440" w:type="dxa"/>
            <w:shd w:val="clear" w:color="auto" w:fill="4CAEAC"/>
          </w:tcPr>
          <w:p w:rsidR="00074AB2" w:rsidRDefault="00074AB2" w:rsidP="00074AB2"/>
        </w:tc>
        <w:tc>
          <w:tcPr>
            <w:tcW w:w="5614" w:type="dxa"/>
            <w:shd w:val="clear" w:color="auto" w:fill="C0C0C0"/>
            <w:vAlign w:val="bottom"/>
          </w:tcPr>
          <w:p w:rsidR="00074AB2" w:rsidRPr="00074AB2" w:rsidRDefault="00E1094B" w:rsidP="00E1094B">
            <w:pPr>
              <w:pStyle w:val="ac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>
              <w:rPr>
                <w:rFonts w:ascii="Century Gothic" w:hAnsi="Century Gothic"/>
                <w:b/>
                <w:bCs/>
                <w:sz w:val="72"/>
                <w:szCs w:val="72"/>
              </w:rPr>
              <w:t>202</w:t>
            </w:r>
            <w:r w:rsidR="007943F8">
              <w:rPr>
                <w:rFonts w:ascii="Century Gothic" w:hAnsi="Century Gothic"/>
                <w:b/>
                <w:bCs/>
                <w:sz w:val="72"/>
                <w:szCs w:val="72"/>
              </w:rPr>
              <w:t>2</w:t>
            </w:r>
          </w:p>
        </w:tc>
      </w:tr>
      <w:tr w:rsidR="00074AB2" w:rsidTr="00E23D48">
        <w:trPr>
          <w:trHeight w:val="2530"/>
        </w:trPr>
        <w:tc>
          <w:tcPr>
            <w:tcW w:w="1440" w:type="dxa"/>
            <w:shd w:val="clear" w:color="auto" w:fill="FF7C80"/>
          </w:tcPr>
          <w:p w:rsidR="00074AB2" w:rsidRDefault="00074AB2" w:rsidP="00074AB2"/>
        </w:tc>
        <w:tc>
          <w:tcPr>
            <w:tcW w:w="5614" w:type="dxa"/>
            <w:shd w:val="clear" w:color="auto" w:fill="auto"/>
            <w:vAlign w:val="center"/>
          </w:tcPr>
          <w:p w:rsidR="0001467E" w:rsidRDefault="00074AB2" w:rsidP="00074AB2">
            <w:pPr>
              <w:pStyle w:val="ac"/>
              <w:jc w:val="center"/>
              <w:rPr>
                <w:rFonts w:ascii="Century Gothic" w:hAnsi="Century Gothic"/>
                <w:sz w:val="28"/>
              </w:rPr>
            </w:pPr>
            <w:r w:rsidRPr="00F3246E">
              <w:rPr>
                <w:rFonts w:ascii="Century Gothic" w:hAnsi="Century Gothic"/>
                <w:sz w:val="28"/>
              </w:rPr>
              <w:t>Администрация городского округа город Рыбинск</w:t>
            </w:r>
          </w:p>
          <w:p w:rsidR="00E23D48" w:rsidRPr="00F3246E" w:rsidRDefault="00E23D48" w:rsidP="00074AB2">
            <w:pPr>
              <w:pStyle w:val="ac"/>
              <w:jc w:val="center"/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 xml:space="preserve">Ярославской области </w:t>
            </w:r>
          </w:p>
        </w:tc>
      </w:tr>
    </w:tbl>
    <w:p w:rsidR="00ED262D" w:rsidRDefault="00ED262D"/>
    <w:p w:rsidR="00ED262D" w:rsidRDefault="00ED262D"/>
    <w:p w:rsidR="00ED262D" w:rsidRDefault="00ED262D"/>
    <w:p w:rsidR="00E53688" w:rsidRDefault="00E53688">
      <w:pPr>
        <w:rPr>
          <w:rFonts w:ascii="Century Gothic" w:eastAsia="Times New Roman" w:hAnsi="Century Gothic" w:cs="Arial"/>
          <w:b/>
          <w:bCs/>
          <w:caps/>
          <w:sz w:val="24"/>
          <w:szCs w:val="24"/>
          <w:lang w:eastAsia="ru-RU"/>
        </w:rPr>
      </w:pPr>
    </w:p>
    <w:p w:rsidR="00E53688" w:rsidRDefault="00E53688">
      <w:pPr>
        <w:rPr>
          <w:rFonts w:ascii="Century Gothic" w:eastAsia="Times New Roman" w:hAnsi="Century Gothic" w:cs="Arial"/>
          <w:b/>
          <w:bCs/>
          <w:caps/>
          <w:sz w:val="24"/>
          <w:szCs w:val="24"/>
          <w:lang w:eastAsia="ru-RU"/>
        </w:rPr>
      </w:pPr>
    </w:p>
    <w:p w:rsidR="00E53688" w:rsidRDefault="00E53688">
      <w:pPr>
        <w:rPr>
          <w:rFonts w:ascii="Century Gothic" w:eastAsia="Times New Roman" w:hAnsi="Century Gothic" w:cs="Arial"/>
          <w:b/>
          <w:bCs/>
          <w:caps/>
          <w:sz w:val="24"/>
          <w:szCs w:val="24"/>
          <w:lang w:eastAsia="ru-RU"/>
        </w:rPr>
      </w:pPr>
    </w:p>
    <w:p w:rsidR="00E53688" w:rsidRDefault="00E53688">
      <w:pPr>
        <w:rPr>
          <w:rFonts w:ascii="Century Gothic" w:eastAsia="Times New Roman" w:hAnsi="Century Gothic" w:cs="Arial"/>
          <w:b/>
          <w:bCs/>
          <w:caps/>
          <w:sz w:val="24"/>
          <w:szCs w:val="24"/>
          <w:lang w:eastAsia="ru-RU"/>
        </w:rPr>
      </w:pPr>
    </w:p>
    <w:p w:rsidR="00074AB2" w:rsidRDefault="00074AB2" w:rsidP="00E53688">
      <w:pPr>
        <w:jc w:val="center"/>
        <w:rPr>
          <w:rFonts w:ascii="Century Gothic" w:eastAsia="Times New Roman" w:hAnsi="Century Gothic" w:cs="Arial"/>
          <w:bCs/>
          <w:caps/>
          <w:sz w:val="32"/>
          <w:szCs w:val="24"/>
          <w:lang w:eastAsia="ru-RU"/>
        </w:rPr>
      </w:pPr>
    </w:p>
    <w:p w:rsidR="00074AB2" w:rsidRDefault="00074AB2" w:rsidP="00E53688">
      <w:pPr>
        <w:jc w:val="center"/>
        <w:rPr>
          <w:rFonts w:ascii="Century Gothic" w:eastAsia="Times New Roman" w:hAnsi="Century Gothic" w:cs="Arial"/>
          <w:bCs/>
          <w:caps/>
          <w:sz w:val="32"/>
          <w:szCs w:val="24"/>
          <w:lang w:eastAsia="ru-RU"/>
        </w:rPr>
      </w:pPr>
    </w:p>
    <w:p w:rsidR="00074AB2" w:rsidRDefault="00074AB2" w:rsidP="00E53688">
      <w:pPr>
        <w:jc w:val="center"/>
        <w:rPr>
          <w:rFonts w:ascii="Century Gothic" w:eastAsia="Times New Roman" w:hAnsi="Century Gothic" w:cs="Arial"/>
          <w:bCs/>
          <w:caps/>
          <w:sz w:val="32"/>
          <w:szCs w:val="24"/>
          <w:lang w:eastAsia="ru-RU"/>
        </w:rPr>
      </w:pPr>
    </w:p>
    <w:p w:rsidR="00971BCD" w:rsidRPr="00E23D48" w:rsidRDefault="00E23D48" w:rsidP="00E23D48">
      <w:pPr>
        <w:spacing w:after="0" w:line="240" w:lineRule="auto"/>
        <w:jc w:val="center"/>
        <w:rPr>
          <w:rFonts w:ascii="Century Gothic" w:hAnsi="Century Gothic"/>
          <w:sz w:val="32"/>
          <w:szCs w:val="52"/>
        </w:rPr>
      </w:pPr>
      <w:r>
        <w:rPr>
          <w:rFonts w:ascii="Century Gothic" w:eastAsia="Times New Roman" w:hAnsi="Century Gothic" w:cs="Arial"/>
          <w:bCs/>
          <w:caps/>
          <w:sz w:val="32"/>
          <w:szCs w:val="24"/>
          <w:lang w:eastAsia="ru-RU"/>
        </w:rPr>
        <w:t>Отчет об оценк</w:t>
      </w:r>
      <w:r w:rsidR="00104270">
        <w:rPr>
          <w:rFonts w:ascii="Century Gothic" w:eastAsia="Times New Roman" w:hAnsi="Century Gothic" w:cs="Arial"/>
          <w:bCs/>
          <w:caps/>
          <w:sz w:val="32"/>
          <w:szCs w:val="24"/>
          <w:lang w:eastAsia="ru-RU"/>
        </w:rPr>
        <w:t>е</w:t>
      </w:r>
      <w:r>
        <w:rPr>
          <w:rFonts w:ascii="Century Gothic" w:eastAsia="Times New Roman" w:hAnsi="Century Gothic" w:cs="Arial"/>
          <w:bCs/>
          <w:caps/>
          <w:sz w:val="32"/>
          <w:szCs w:val="24"/>
          <w:lang w:eastAsia="ru-RU"/>
        </w:rPr>
        <w:t xml:space="preserve"> </w:t>
      </w:r>
      <w:proofErr w:type="gramStart"/>
      <w:r>
        <w:rPr>
          <w:rFonts w:ascii="Century Gothic" w:eastAsia="Times New Roman" w:hAnsi="Century Gothic" w:cs="Arial"/>
          <w:bCs/>
          <w:caps/>
          <w:sz w:val="32"/>
          <w:szCs w:val="24"/>
          <w:lang w:eastAsia="ru-RU"/>
        </w:rPr>
        <w:t xml:space="preserve">степени достижения основных индикаторов выполнения </w:t>
      </w:r>
      <w:r w:rsidR="00B4659A" w:rsidRPr="00ED262D">
        <w:rPr>
          <w:rFonts w:ascii="Century Gothic" w:eastAsia="Times New Roman" w:hAnsi="Century Gothic" w:cs="Arial"/>
          <w:bCs/>
          <w:caps/>
          <w:sz w:val="32"/>
          <w:szCs w:val="24"/>
          <w:lang w:eastAsia="ru-RU"/>
        </w:rPr>
        <w:t xml:space="preserve"> </w:t>
      </w:r>
      <w:r>
        <w:rPr>
          <w:rFonts w:ascii="Century Gothic" w:eastAsia="Times New Roman" w:hAnsi="Century Gothic" w:cs="Arial"/>
          <w:bCs/>
          <w:caps/>
          <w:sz w:val="32"/>
          <w:szCs w:val="24"/>
          <w:lang w:eastAsia="ru-RU"/>
        </w:rPr>
        <w:t xml:space="preserve">стратегии социально-экономического развития </w:t>
      </w:r>
      <w:r>
        <w:rPr>
          <w:rFonts w:ascii="Century Gothic" w:hAnsi="Century Gothic"/>
          <w:sz w:val="32"/>
          <w:szCs w:val="52"/>
        </w:rPr>
        <w:t xml:space="preserve"> ГОРОДСКОГО ОКРУГА</w:t>
      </w:r>
      <w:proofErr w:type="gramEnd"/>
      <w:r>
        <w:rPr>
          <w:rFonts w:ascii="Century Gothic" w:hAnsi="Century Gothic"/>
          <w:sz w:val="32"/>
          <w:szCs w:val="52"/>
        </w:rPr>
        <w:t xml:space="preserve"> ГОРОД РЫБИНСК НА 2018-2030 ГОДЫ</w:t>
      </w:r>
      <w:r w:rsidR="00993324">
        <w:rPr>
          <w:rFonts w:ascii="Century Gothic" w:hAnsi="Century Gothic"/>
          <w:sz w:val="32"/>
          <w:szCs w:val="52"/>
        </w:rPr>
        <w:t xml:space="preserve"> (СТРАТЕГИЯ-2030)</w:t>
      </w:r>
      <w:r>
        <w:rPr>
          <w:rFonts w:ascii="Century Gothic" w:hAnsi="Century Gothic"/>
          <w:sz w:val="32"/>
          <w:szCs w:val="52"/>
        </w:rPr>
        <w:t>,</w:t>
      </w:r>
      <w:r w:rsidR="00B4659A" w:rsidRPr="00ED262D">
        <w:rPr>
          <w:rFonts w:ascii="Century Gothic" w:eastAsia="Times New Roman" w:hAnsi="Century Gothic" w:cs="Arial"/>
          <w:bCs/>
          <w:caps/>
          <w:sz w:val="32"/>
          <w:szCs w:val="24"/>
          <w:lang w:eastAsia="ru-RU"/>
        </w:rPr>
        <w:t xml:space="preserve"> муниципальных ПРОГРАММ </w:t>
      </w:r>
    </w:p>
    <w:p w:rsidR="00E53688" w:rsidRPr="00E23D48" w:rsidRDefault="00B4659A" w:rsidP="00B4659A">
      <w:pPr>
        <w:spacing w:after="0" w:line="240" w:lineRule="auto"/>
        <w:jc w:val="center"/>
        <w:rPr>
          <w:rFonts w:ascii="Century Gothic" w:eastAsia="Times New Roman" w:hAnsi="Century Gothic" w:cs="Arial"/>
          <w:b/>
          <w:bCs/>
          <w:caps/>
          <w:sz w:val="32"/>
          <w:szCs w:val="24"/>
          <w:lang w:eastAsia="ru-RU"/>
        </w:rPr>
      </w:pPr>
      <w:r w:rsidRPr="00E23D48">
        <w:rPr>
          <w:rFonts w:ascii="Century Gothic" w:eastAsia="Times New Roman" w:hAnsi="Century Gothic" w:cs="Arial"/>
          <w:b/>
          <w:bCs/>
          <w:caps/>
          <w:sz w:val="32"/>
          <w:szCs w:val="24"/>
          <w:lang w:eastAsia="ru-RU"/>
        </w:rPr>
        <w:t xml:space="preserve">за </w:t>
      </w:r>
      <w:r w:rsidR="00E53688" w:rsidRPr="00E23D48">
        <w:rPr>
          <w:rFonts w:ascii="Century Gothic" w:eastAsia="Times New Roman" w:hAnsi="Century Gothic" w:cs="Arial"/>
          <w:b/>
          <w:bCs/>
          <w:caps/>
          <w:sz w:val="32"/>
          <w:szCs w:val="24"/>
          <w:lang w:eastAsia="ru-RU"/>
        </w:rPr>
        <w:t xml:space="preserve"> 20</w:t>
      </w:r>
      <w:r w:rsidR="00E23D48" w:rsidRPr="00E23D48">
        <w:rPr>
          <w:rFonts w:ascii="Century Gothic" w:eastAsia="Times New Roman" w:hAnsi="Century Gothic" w:cs="Arial"/>
          <w:b/>
          <w:bCs/>
          <w:caps/>
          <w:sz w:val="32"/>
          <w:szCs w:val="24"/>
          <w:lang w:eastAsia="ru-RU"/>
        </w:rPr>
        <w:t>21</w:t>
      </w:r>
      <w:r w:rsidR="00E53688" w:rsidRPr="00E23D48">
        <w:rPr>
          <w:rFonts w:ascii="Century Gothic" w:eastAsia="Times New Roman" w:hAnsi="Century Gothic" w:cs="Arial"/>
          <w:b/>
          <w:bCs/>
          <w:caps/>
          <w:sz w:val="32"/>
          <w:szCs w:val="24"/>
          <w:lang w:eastAsia="ru-RU"/>
        </w:rPr>
        <w:t xml:space="preserve"> ГОД</w:t>
      </w:r>
    </w:p>
    <w:p w:rsidR="00E53688" w:rsidRDefault="00E53688">
      <w:pPr>
        <w:rPr>
          <w:rFonts w:ascii="Century Gothic" w:eastAsia="Times New Roman" w:hAnsi="Century Gothic" w:cs="Arial"/>
          <w:b/>
          <w:bCs/>
          <w:caps/>
          <w:sz w:val="24"/>
          <w:szCs w:val="24"/>
          <w:lang w:eastAsia="ru-RU"/>
        </w:rPr>
      </w:pPr>
    </w:p>
    <w:p w:rsidR="00E53688" w:rsidRDefault="00E53688">
      <w:pPr>
        <w:rPr>
          <w:rFonts w:ascii="Century Gothic" w:eastAsia="Times New Roman" w:hAnsi="Century Gothic" w:cs="Arial"/>
          <w:b/>
          <w:bCs/>
          <w:caps/>
          <w:sz w:val="24"/>
          <w:szCs w:val="24"/>
          <w:lang w:eastAsia="ru-RU"/>
        </w:rPr>
      </w:pPr>
    </w:p>
    <w:p w:rsidR="00E53688" w:rsidRDefault="00E53688">
      <w:pPr>
        <w:rPr>
          <w:rFonts w:ascii="Century Gothic" w:eastAsia="Times New Roman" w:hAnsi="Century Gothic" w:cs="Arial"/>
          <w:b/>
          <w:bCs/>
          <w:caps/>
          <w:sz w:val="24"/>
          <w:szCs w:val="24"/>
          <w:lang w:eastAsia="ru-RU"/>
        </w:rPr>
      </w:pPr>
    </w:p>
    <w:p w:rsidR="00E53688" w:rsidRDefault="00E53688">
      <w:pPr>
        <w:rPr>
          <w:rFonts w:ascii="Century Gothic" w:eastAsia="Times New Roman" w:hAnsi="Century Gothic" w:cs="Arial"/>
          <w:b/>
          <w:bCs/>
          <w:caps/>
          <w:sz w:val="24"/>
          <w:szCs w:val="24"/>
          <w:lang w:eastAsia="ru-RU"/>
        </w:rPr>
      </w:pPr>
    </w:p>
    <w:p w:rsidR="00E53688" w:rsidRDefault="00E53688">
      <w:pPr>
        <w:rPr>
          <w:rFonts w:ascii="Century Gothic" w:eastAsia="Times New Roman" w:hAnsi="Century Gothic" w:cs="Arial"/>
          <w:b/>
          <w:bCs/>
          <w:caps/>
          <w:sz w:val="24"/>
          <w:szCs w:val="24"/>
          <w:lang w:eastAsia="ru-RU"/>
        </w:rPr>
      </w:pPr>
    </w:p>
    <w:p w:rsidR="00BE7F41" w:rsidRDefault="00BE7F41">
      <w:pPr>
        <w:rPr>
          <w:rFonts w:ascii="Century Gothic" w:eastAsia="Times New Roman" w:hAnsi="Century Gothic" w:cs="Arial"/>
          <w:b/>
          <w:bCs/>
          <w:cap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2864"/>
        <w:tblW w:w="10556" w:type="dxa"/>
        <w:tblLook w:val="04A0"/>
      </w:tblPr>
      <w:tblGrid>
        <w:gridCol w:w="8297"/>
        <w:gridCol w:w="2259"/>
      </w:tblGrid>
      <w:tr w:rsidR="00ED262D" w:rsidTr="00BE7F41">
        <w:trPr>
          <w:trHeight w:val="89"/>
        </w:trPr>
        <w:tc>
          <w:tcPr>
            <w:tcW w:w="8297" w:type="dxa"/>
          </w:tcPr>
          <w:p w:rsidR="00ED262D" w:rsidRPr="00F3246E" w:rsidRDefault="00ED262D" w:rsidP="00F3246E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aps/>
                <w:sz w:val="24"/>
                <w:szCs w:val="24"/>
                <w:lang w:eastAsia="ru-RU"/>
              </w:rPr>
            </w:pPr>
          </w:p>
          <w:p w:rsidR="00ED262D" w:rsidRPr="00F3246E" w:rsidRDefault="00ED262D" w:rsidP="00F3246E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aps/>
                <w:sz w:val="24"/>
                <w:szCs w:val="24"/>
                <w:lang w:eastAsia="ru-RU"/>
              </w:rPr>
            </w:pPr>
          </w:p>
          <w:p w:rsidR="00ED262D" w:rsidRPr="00F3246E" w:rsidRDefault="00ED262D" w:rsidP="00F3246E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aps/>
                <w:sz w:val="24"/>
                <w:szCs w:val="24"/>
                <w:lang w:eastAsia="ru-RU"/>
              </w:rPr>
            </w:pPr>
          </w:p>
          <w:p w:rsidR="00ED262D" w:rsidRPr="00F3246E" w:rsidRDefault="00ED262D" w:rsidP="00F3246E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shd w:val="clear" w:color="auto" w:fill="FF7C80"/>
          </w:tcPr>
          <w:p w:rsidR="00ED262D" w:rsidRPr="00F3246E" w:rsidRDefault="00ED262D" w:rsidP="00F3246E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ED262D" w:rsidTr="00BE7F41">
        <w:trPr>
          <w:trHeight w:val="66"/>
        </w:trPr>
        <w:tc>
          <w:tcPr>
            <w:tcW w:w="8297" w:type="dxa"/>
            <w:shd w:val="clear" w:color="auto" w:fill="C0C0C0"/>
          </w:tcPr>
          <w:p w:rsidR="00E23D48" w:rsidRDefault="00E23D48" w:rsidP="00F3246E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Cs/>
                <w:caps/>
                <w:sz w:val="24"/>
                <w:szCs w:val="24"/>
                <w:lang w:eastAsia="ru-RU"/>
              </w:rPr>
            </w:pPr>
          </w:p>
          <w:p w:rsidR="00ED262D" w:rsidRPr="00F3246E" w:rsidRDefault="00A36B5B" w:rsidP="00F3246E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Cs/>
                <w:caps/>
                <w:sz w:val="28"/>
                <w:szCs w:val="24"/>
                <w:lang w:eastAsia="ru-RU"/>
              </w:rPr>
            </w:pPr>
            <w:r w:rsidRPr="00F3246E">
              <w:rPr>
                <w:rFonts w:ascii="Century Gothic" w:eastAsia="Times New Roman" w:hAnsi="Century Gothic" w:cs="Arial"/>
                <w:bCs/>
                <w:caps/>
                <w:sz w:val="24"/>
                <w:szCs w:val="24"/>
                <w:lang w:eastAsia="ru-RU"/>
              </w:rPr>
              <w:t>Управление экономиче</w:t>
            </w:r>
            <w:r w:rsidR="00FB1667" w:rsidRPr="00F3246E">
              <w:rPr>
                <w:rFonts w:ascii="Century Gothic" w:eastAsia="Times New Roman" w:hAnsi="Century Gothic" w:cs="Arial"/>
                <w:bCs/>
                <w:caps/>
                <w:sz w:val="24"/>
                <w:szCs w:val="24"/>
                <w:lang w:eastAsia="ru-RU"/>
              </w:rPr>
              <w:t>с</w:t>
            </w:r>
            <w:r w:rsidRPr="00F3246E">
              <w:rPr>
                <w:rFonts w:ascii="Century Gothic" w:eastAsia="Times New Roman" w:hAnsi="Century Gothic" w:cs="Arial"/>
                <w:bCs/>
                <w:caps/>
                <w:sz w:val="24"/>
                <w:szCs w:val="24"/>
                <w:lang w:eastAsia="ru-RU"/>
              </w:rPr>
              <w:t>кого развития и инвестиций</w:t>
            </w:r>
          </w:p>
          <w:p w:rsidR="00ED262D" w:rsidRPr="00F3246E" w:rsidRDefault="00ED262D" w:rsidP="00F3246E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shd w:val="clear" w:color="auto" w:fill="4CAEAC"/>
          </w:tcPr>
          <w:p w:rsidR="00803FC4" w:rsidRDefault="00803FC4" w:rsidP="00F3246E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aps/>
                <w:sz w:val="28"/>
                <w:szCs w:val="24"/>
                <w:lang w:eastAsia="ru-RU"/>
              </w:rPr>
            </w:pPr>
          </w:p>
          <w:p w:rsidR="00ED262D" w:rsidRPr="00F3246E" w:rsidRDefault="00A36B5B" w:rsidP="00F3246E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aps/>
                <w:sz w:val="24"/>
                <w:szCs w:val="24"/>
                <w:lang w:eastAsia="ru-RU"/>
              </w:rPr>
            </w:pPr>
            <w:r w:rsidRPr="00F3246E">
              <w:rPr>
                <w:rFonts w:ascii="Century Gothic" w:eastAsia="Times New Roman" w:hAnsi="Century Gothic" w:cs="Arial"/>
                <w:b/>
                <w:bCs/>
                <w:caps/>
                <w:sz w:val="28"/>
                <w:szCs w:val="24"/>
                <w:lang w:eastAsia="ru-RU"/>
              </w:rPr>
              <w:t>Рыбинск</w:t>
            </w:r>
          </w:p>
        </w:tc>
      </w:tr>
    </w:tbl>
    <w:p w:rsidR="00E53688" w:rsidRDefault="00E53688">
      <w:pPr>
        <w:rPr>
          <w:rFonts w:ascii="Century Gothic" w:eastAsia="Times New Roman" w:hAnsi="Century Gothic" w:cs="Arial"/>
          <w:b/>
          <w:bCs/>
          <w:caps/>
          <w:sz w:val="24"/>
          <w:szCs w:val="24"/>
          <w:lang w:eastAsia="ru-RU"/>
        </w:rPr>
      </w:pPr>
    </w:p>
    <w:p w:rsidR="00BE7F41" w:rsidRDefault="00BE7F41" w:rsidP="000817C0">
      <w:pPr>
        <w:spacing w:after="0" w:line="240" w:lineRule="auto"/>
        <w:jc w:val="center"/>
        <w:rPr>
          <w:rFonts w:ascii="Century Gothic" w:hAnsi="Century Gothic"/>
          <w:b/>
          <w:bCs/>
          <w:caps/>
          <w:sz w:val="28"/>
          <w:szCs w:val="28"/>
        </w:rPr>
      </w:pPr>
    </w:p>
    <w:p w:rsidR="00BE7F41" w:rsidRDefault="00BE7F41" w:rsidP="000817C0">
      <w:pPr>
        <w:spacing w:after="0" w:line="240" w:lineRule="auto"/>
        <w:jc w:val="center"/>
        <w:rPr>
          <w:rFonts w:ascii="Century Gothic" w:hAnsi="Century Gothic"/>
          <w:b/>
          <w:bCs/>
          <w:caps/>
          <w:sz w:val="28"/>
          <w:szCs w:val="28"/>
        </w:rPr>
      </w:pPr>
    </w:p>
    <w:p w:rsidR="00BE7F41" w:rsidRDefault="00BE7F41" w:rsidP="000817C0">
      <w:pPr>
        <w:spacing w:after="0" w:line="240" w:lineRule="auto"/>
        <w:jc w:val="center"/>
        <w:rPr>
          <w:rFonts w:ascii="Century Gothic" w:hAnsi="Century Gothic"/>
          <w:b/>
          <w:bCs/>
          <w:caps/>
          <w:sz w:val="28"/>
          <w:szCs w:val="28"/>
        </w:rPr>
      </w:pPr>
    </w:p>
    <w:p w:rsidR="00BE7F41" w:rsidRDefault="00BE7F41" w:rsidP="000817C0">
      <w:pPr>
        <w:spacing w:after="0" w:line="240" w:lineRule="auto"/>
        <w:jc w:val="center"/>
        <w:rPr>
          <w:rFonts w:ascii="Century Gothic" w:hAnsi="Century Gothic"/>
          <w:b/>
          <w:bCs/>
          <w:caps/>
          <w:sz w:val="28"/>
          <w:szCs w:val="28"/>
        </w:rPr>
      </w:pPr>
    </w:p>
    <w:p w:rsidR="00BE7F41" w:rsidRDefault="00BE7F41" w:rsidP="000817C0">
      <w:pPr>
        <w:spacing w:after="0" w:line="240" w:lineRule="auto"/>
        <w:jc w:val="center"/>
        <w:rPr>
          <w:rFonts w:ascii="Century Gothic" w:hAnsi="Century Gothic"/>
          <w:b/>
          <w:bCs/>
          <w:caps/>
          <w:sz w:val="28"/>
          <w:szCs w:val="28"/>
        </w:rPr>
      </w:pPr>
    </w:p>
    <w:p w:rsidR="00BE7F41" w:rsidRDefault="00BE7F41" w:rsidP="000817C0">
      <w:pPr>
        <w:spacing w:after="0" w:line="240" w:lineRule="auto"/>
        <w:jc w:val="center"/>
        <w:rPr>
          <w:rFonts w:ascii="Century Gothic" w:hAnsi="Century Gothic"/>
          <w:b/>
          <w:bCs/>
          <w:caps/>
          <w:sz w:val="28"/>
          <w:szCs w:val="28"/>
        </w:rPr>
      </w:pPr>
    </w:p>
    <w:p w:rsidR="000817C0" w:rsidRPr="00993324" w:rsidRDefault="000817C0" w:rsidP="000817C0">
      <w:pPr>
        <w:spacing w:after="0" w:line="240" w:lineRule="auto"/>
        <w:jc w:val="center"/>
        <w:rPr>
          <w:rFonts w:ascii="Century Gothic" w:hAnsi="Century Gothic"/>
          <w:b/>
          <w:bCs/>
          <w:caps/>
          <w:sz w:val="28"/>
          <w:szCs w:val="28"/>
        </w:rPr>
      </w:pPr>
      <w:r w:rsidRPr="00993324">
        <w:rPr>
          <w:rFonts w:ascii="Century Gothic" w:hAnsi="Century Gothic"/>
          <w:b/>
          <w:bCs/>
          <w:caps/>
          <w:sz w:val="28"/>
          <w:szCs w:val="28"/>
        </w:rPr>
        <w:lastRenderedPageBreak/>
        <w:t>Оценка степени достижения основных индикаторов</w:t>
      </w:r>
    </w:p>
    <w:p w:rsidR="000817C0" w:rsidRPr="00993324" w:rsidRDefault="000817C0" w:rsidP="000817C0">
      <w:pPr>
        <w:spacing w:after="0" w:line="240" w:lineRule="auto"/>
        <w:jc w:val="center"/>
        <w:rPr>
          <w:rFonts w:ascii="Century Gothic" w:hAnsi="Century Gothic"/>
          <w:b/>
          <w:bCs/>
          <w:caps/>
          <w:sz w:val="28"/>
          <w:szCs w:val="28"/>
        </w:rPr>
      </w:pPr>
      <w:r w:rsidRPr="00993324">
        <w:rPr>
          <w:rFonts w:ascii="Century Gothic" w:hAnsi="Century Gothic"/>
          <w:b/>
          <w:bCs/>
          <w:caps/>
          <w:sz w:val="28"/>
          <w:szCs w:val="28"/>
        </w:rPr>
        <w:t>ВЫПОЛНЕНИЯ СТРАТЕГИИ-2030 за 2021 год</w:t>
      </w:r>
    </w:p>
    <w:p w:rsidR="000817C0" w:rsidRPr="00FD6A39" w:rsidRDefault="000817C0" w:rsidP="000817C0">
      <w:pPr>
        <w:spacing w:after="0" w:line="240" w:lineRule="auto"/>
        <w:ind w:left="993" w:firstLine="708"/>
        <w:jc w:val="both"/>
        <w:rPr>
          <w:sz w:val="28"/>
          <w:szCs w:val="28"/>
        </w:rPr>
      </w:pPr>
    </w:p>
    <w:p w:rsidR="000817C0" w:rsidRPr="000817C0" w:rsidRDefault="000817C0" w:rsidP="000817C0">
      <w:pPr>
        <w:spacing w:after="0" w:line="240" w:lineRule="auto"/>
        <w:ind w:firstLine="709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0817C0">
        <w:rPr>
          <w:rFonts w:ascii="Century Gothic" w:eastAsia="Times New Roman" w:hAnsi="Century Gothic"/>
          <w:sz w:val="24"/>
          <w:szCs w:val="24"/>
          <w:lang w:eastAsia="ru-RU"/>
        </w:rPr>
        <w:t xml:space="preserve">Ежегодный мониторинг выполнения Стратегии - 2030 проведен в рамках оценки степени достижения планируемых на 2021 год значений 20 индикаторов, напрямую влияющих на уровень и качество жизни населения города. </w:t>
      </w:r>
    </w:p>
    <w:p w:rsidR="000817C0" w:rsidRPr="000817C0" w:rsidRDefault="000817C0" w:rsidP="000817C0">
      <w:pPr>
        <w:spacing w:after="0" w:line="240" w:lineRule="auto"/>
        <w:ind w:firstLine="709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</w:p>
    <w:p w:rsidR="000817C0" w:rsidRPr="000817C0" w:rsidRDefault="000817C0" w:rsidP="000817C0">
      <w:pPr>
        <w:spacing w:after="0" w:line="240" w:lineRule="auto"/>
        <w:ind w:firstLine="709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0817C0">
        <w:rPr>
          <w:rFonts w:ascii="Century Gothic" w:eastAsia="Times New Roman" w:hAnsi="Century Gothic"/>
          <w:sz w:val="24"/>
          <w:szCs w:val="24"/>
          <w:lang w:eastAsia="ru-RU"/>
        </w:rPr>
        <w:t xml:space="preserve">В 2021 году по 20,0 % (4) индикаторов достигнуто выполнение плановых значений (в 2020 году – по 30,0 % (6)); по 80,0 % (16) – плановые значения индикаторов не достигнуты (в 2020 году – по 65,0% (13)), по 5,0 % (1) динамика отсутствовала). </w:t>
      </w:r>
    </w:p>
    <w:p w:rsidR="000817C0" w:rsidRPr="000817C0" w:rsidRDefault="000817C0" w:rsidP="000817C0">
      <w:pPr>
        <w:spacing w:after="0" w:line="240" w:lineRule="auto"/>
        <w:ind w:firstLine="709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</w:p>
    <w:p w:rsidR="000817C0" w:rsidRDefault="000817C0" w:rsidP="000817C0">
      <w:pPr>
        <w:spacing w:after="0" w:line="240" w:lineRule="auto"/>
        <w:ind w:firstLine="709"/>
        <w:jc w:val="both"/>
        <w:rPr>
          <w:rFonts w:ascii="Century Gothic" w:eastAsia="Times New Roman" w:hAnsi="Century Gothic"/>
          <w:b/>
          <w:sz w:val="24"/>
          <w:szCs w:val="24"/>
          <w:lang w:eastAsia="ru-RU"/>
        </w:rPr>
      </w:pPr>
      <w:r w:rsidRPr="000817C0">
        <w:rPr>
          <w:rFonts w:ascii="Century Gothic" w:eastAsia="Times New Roman" w:hAnsi="Century Gothic"/>
          <w:sz w:val="24"/>
          <w:szCs w:val="24"/>
          <w:lang w:eastAsia="ru-RU"/>
        </w:rPr>
        <w:t xml:space="preserve">В </w:t>
      </w:r>
      <w:proofErr w:type="gramStart"/>
      <w:r w:rsidRPr="000817C0">
        <w:rPr>
          <w:rFonts w:ascii="Century Gothic" w:eastAsia="Times New Roman" w:hAnsi="Century Gothic"/>
          <w:sz w:val="24"/>
          <w:szCs w:val="24"/>
          <w:lang w:eastAsia="ru-RU"/>
        </w:rPr>
        <w:t>результате</w:t>
      </w:r>
      <w:proofErr w:type="gramEnd"/>
      <w:r w:rsidRPr="000817C0">
        <w:rPr>
          <w:rFonts w:ascii="Century Gothic" w:eastAsia="Times New Roman" w:hAnsi="Century Gothic"/>
          <w:sz w:val="24"/>
          <w:szCs w:val="24"/>
          <w:lang w:eastAsia="ru-RU"/>
        </w:rPr>
        <w:t xml:space="preserve"> проведенной интегральной оценки средний уровень достижения планируемых значений 20 основных индикаторов за 2021 год составил 93,1 %; в 2020 году - 94,6 %; в 2019 году - 97,5 % - качественная характеристика выполнения Стратегии - 2030 по принятой шкале - </w:t>
      </w:r>
      <w:r w:rsidRPr="00347878">
        <w:rPr>
          <w:rFonts w:ascii="Century Gothic" w:eastAsia="Times New Roman" w:hAnsi="Century Gothic"/>
          <w:b/>
          <w:sz w:val="24"/>
          <w:szCs w:val="24"/>
          <w:lang w:eastAsia="ru-RU"/>
        </w:rPr>
        <w:t>высоко результативная.</w:t>
      </w:r>
    </w:p>
    <w:p w:rsidR="002E4A69" w:rsidRPr="000817C0" w:rsidRDefault="002E4A69" w:rsidP="000817C0">
      <w:pPr>
        <w:spacing w:after="0" w:line="240" w:lineRule="auto"/>
        <w:ind w:firstLine="709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>
        <w:rPr>
          <w:rFonts w:ascii="Century Gothic" w:eastAsia="Times New Roman" w:hAnsi="Century Gothic"/>
          <w:sz w:val="24"/>
          <w:szCs w:val="24"/>
          <w:lang w:eastAsia="ru-RU"/>
        </w:rPr>
        <w:t>Информация о достижении значений всех индикаторов Стратегии - 2030 за 2021 год представлена в Приложении 1.</w:t>
      </w:r>
    </w:p>
    <w:p w:rsidR="0000440B" w:rsidRDefault="0000440B" w:rsidP="000817C0">
      <w:pPr>
        <w:rPr>
          <w:rFonts w:ascii="Century Gothic" w:eastAsia="Times New Roman" w:hAnsi="Century Gothic"/>
          <w:sz w:val="24"/>
          <w:szCs w:val="24"/>
          <w:lang w:eastAsia="ru-RU"/>
        </w:rPr>
      </w:pPr>
    </w:p>
    <w:p w:rsidR="003829B1" w:rsidRDefault="003829B1" w:rsidP="00FF3DCB">
      <w:pPr>
        <w:spacing w:after="0" w:line="240" w:lineRule="auto"/>
        <w:ind w:right="-1"/>
        <w:jc w:val="center"/>
        <w:rPr>
          <w:rFonts w:ascii="Century Gothic" w:eastAsia="Times New Roman" w:hAnsi="Century Gothic"/>
          <w:b/>
          <w:bCs/>
          <w:sz w:val="28"/>
          <w:szCs w:val="28"/>
          <w:lang w:eastAsia="ru-RU"/>
        </w:rPr>
      </w:pPr>
      <w:r>
        <w:rPr>
          <w:rFonts w:ascii="Century Gothic" w:eastAsia="Times New Roman" w:hAnsi="Century Gothic"/>
          <w:b/>
          <w:bCs/>
          <w:sz w:val="28"/>
          <w:szCs w:val="28"/>
          <w:lang w:eastAsia="ru-RU"/>
        </w:rPr>
        <w:t>Информация</w:t>
      </w:r>
      <w:r w:rsidRPr="00E779B7">
        <w:rPr>
          <w:rFonts w:ascii="Century Gothic" w:eastAsia="Times New Roman" w:hAnsi="Century Gothic"/>
          <w:b/>
          <w:bCs/>
          <w:sz w:val="28"/>
          <w:szCs w:val="28"/>
          <w:lang w:eastAsia="ru-RU"/>
        </w:rPr>
        <w:t xml:space="preserve"> </w:t>
      </w:r>
      <w:r>
        <w:rPr>
          <w:rFonts w:ascii="Century Gothic" w:eastAsia="Times New Roman" w:hAnsi="Century Gothic"/>
          <w:b/>
          <w:bCs/>
          <w:sz w:val="28"/>
          <w:szCs w:val="28"/>
          <w:lang w:eastAsia="ru-RU"/>
        </w:rPr>
        <w:t xml:space="preserve">о реализации муниципальных программ городского округа город Рыбинск </w:t>
      </w:r>
      <w:r w:rsidR="00347878">
        <w:rPr>
          <w:rFonts w:ascii="Century Gothic" w:eastAsia="Times New Roman" w:hAnsi="Century Gothic"/>
          <w:b/>
          <w:bCs/>
          <w:sz w:val="28"/>
          <w:szCs w:val="28"/>
          <w:lang w:eastAsia="ru-RU"/>
        </w:rPr>
        <w:t xml:space="preserve">Ярославской области </w:t>
      </w:r>
      <w:r>
        <w:rPr>
          <w:rFonts w:ascii="Century Gothic" w:eastAsia="Times New Roman" w:hAnsi="Century Gothic"/>
          <w:b/>
          <w:bCs/>
          <w:sz w:val="28"/>
          <w:szCs w:val="28"/>
          <w:lang w:eastAsia="ru-RU"/>
        </w:rPr>
        <w:t>за</w:t>
      </w:r>
      <w:r w:rsidR="00580DF1">
        <w:rPr>
          <w:rFonts w:ascii="Century Gothic" w:eastAsia="Times New Roman" w:hAnsi="Century Gothic"/>
          <w:b/>
          <w:bCs/>
          <w:sz w:val="28"/>
          <w:szCs w:val="28"/>
          <w:lang w:eastAsia="ru-RU"/>
        </w:rPr>
        <w:t xml:space="preserve"> 20</w:t>
      </w:r>
      <w:r w:rsidR="00AB69EE">
        <w:rPr>
          <w:rFonts w:ascii="Century Gothic" w:eastAsia="Times New Roman" w:hAnsi="Century Gothic"/>
          <w:b/>
          <w:bCs/>
          <w:sz w:val="28"/>
          <w:szCs w:val="28"/>
          <w:lang w:eastAsia="ru-RU"/>
        </w:rPr>
        <w:t>2</w:t>
      </w:r>
      <w:r w:rsidR="00347878">
        <w:rPr>
          <w:rFonts w:ascii="Century Gothic" w:eastAsia="Times New Roman" w:hAnsi="Century Gothic"/>
          <w:b/>
          <w:bCs/>
          <w:sz w:val="28"/>
          <w:szCs w:val="28"/>
          <w:lang w:eastAsia="ru-RU"/>
        </w:rPr>
        <w:t>1</w:t>
      </w:r>
      <w:r w:rsidR="00AB69EE">
        <w:rPr>
          <w:rFonts w:ascii="Century Gothic" w:eastAsia="Times New Roman" w:hAnsi="Century Gothic"/>
          <w:b/>
          <w:bCs/>
          <w:sz w:val="28"/>
          <w:szCs w:val="28"/>
          <w:lang w:eastAsia="ru-RU"/>
        </w:rPr>
        <w:t xml:space="preserve"> </w:t>
      </w:r>
      <w:r w:rsidRPr="00E779B7">
        <w:rPr>
          <w:rFonts w:ascii="Century Gothic" w:eastAsia="Times New Roman" w:hAnsi="Century Gothic"/>
          <w:b/>
          <w:bCs/>
          <w:sz w:val="28"/>
          <w:szCs w:val="28"/>
          <w:lang w:eastAsia="ru-RU"/>
        </w:rPr>
        <w:t xml:space="preserve"> год</w:t>
      </w:r>
    </w:p>
    <w:p w:rsidR="00AB69EE" w:rsidRPr="008B21AD" w:rsidRDefault="00AB69EE" w:rsidP="00FF3DCB">
      <w:pPr>
        <w:spacing w:after="0" w:line="240" w:lineRule="auto"/>
        <w:ind w:right="-1"/>
        <w:jc w:val="center"/>
        <w:rPr>
          <w:rFonts w:ascii="Century Gothic" w:eastAsia="Times New Roman" w:hAnsi="Century Gothic"/>
          <w:sz w:val="24"/>
          <w:szCs w:val="24"/>
          <w:lang w:eastAsia="ru-RU"/>
        </w:rPr>
      </w:pPr>
    </w:p>
    <w:p w:rsidR="00390E92" w:rsidRDefault="008E5675" w:rsidP="00390E92">
      <w:pPr>
        <w:spacing w:after="0" w:line="240" w:lineRule="auto"/>
        <w:ind w:right="-1"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В </w:t>
      </w:r>
      <w:r w:rsidRPr="004909FF">
        <w:rPr>
          <w:rFonts w:ascii="Century Gothic" w:eastAsia="Times New Roman" w:hAnsi="Century Gothic"/>
          <w:sz w:val="24"/>
          <w:szCs w:val="24"/>
          <w:lang w:eastAsia="ru-RU"/>
        </w:rPr>
        <w:t>течение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="00580DF1">
        <w:rPr>
          <w:rFonts w:ascii="Century Gothic" w:eastAsia="Times New Roman" w:hAnsi="Century Gothic"/>
          <w:sz w:val="24"/>
          <w:szCs w:val="24"/>
          <w:lang w:eastAsia="ru-RU"/>
        </w:rPr>
        <w:t>20</w:t>
      </w:r>
      <w:r w:rsidR="00E36708">
        <w:rPr>
          <w:rFonts w:ascii="Century Gothic" w:eastAsia="Times New Roman" w:hAnsi="Century Gothic"/>
          <w:sz w:val="24"/>
          <w:szCs w:val="24"/>
          <w:lang w:eastAsia="ru-RU"/>
        </w:rPr>
        <w:t>2</w:t>
      </w:r>
      <w:r w:rsidR="00347878">
        <w:rPr>
          <w:rFonts w:ascii="Century Gothic" w:eastAsia="Times New Roman" w:hAnsi="Century Gothic"/>
          <w:sz w:val="24"/>
          <w:szCs w:val="24"/>
          <w:lang w:eastAsia="ru-RU"/>
        </w:rPr>
        <w:t>1</w:t>
      </w:r>
      <w:r w:rsidR="00E53688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года </w:t>
      </w:r>
      <w:r w:rsidR="00E53688">
        <w:rPr>
          <w:rFonts w:ascii="Century Gothic" w:eastAsia="Times New Roman" w:hAnsi="Century Gothic"/>
          <w:sz w:val="24"/>
          <w:szCs w:val="24"/>
          <w:lang w:eastAsia="ru-RU"/>
        </w:rPr>
        <w:t xml:space="preserve">в городском округе город Рыбинск </w:t>
      </w:r>
      <w:r w:rsidR="00347878">
        <w:rPr>
          <w:rFonts w:ascii="Century Gothic" w:eastAsia="Times New Roman" w:hAnsi="Century Gothic"/>
          <w:sz w:val="24"/>
          <w:szCs w:val="24"/>
          <w:lang w:eastAsia="ru-RU"/>
        </w:rPr>
        <w:t xml:space="preserve">Ярославской области 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осуществлялась реализация </w:t>
      </w:r>
      <w:r w:rsidR="00347878">
        <w:rPr>
          <w:rFonts w:ascii="Century Gothic" w:eastAsia="Times New Roman" w:hAnsi="Century Gothic"/>
          <w:sz w:val="24"/>
          <w:szCs w:val="24"/>
          <w:lang w:eastAsia="ru-RU"/>
        </w:rPr>
        <w:t>23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>
        <w:rPr>
          <w:rFonts w:ascii="Century Gothic" w:eastAsia="Times New Roman" w:hAnsi="Century Gothic"/>
          <w:sz w:val="24"/>
          <w:szCs w:val="24"/>
          <w:lang w:eastAsia="ru-RU"/>
        </w:rPr>
        <w:t>муниципальных</w:t>
      </w:r>
      <w:r w:rsidR="001F1F33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="00347878">
        <w:rPr>
          <w:rFonts w:ascii="Century Gothic" w:eastAsia="Times New Roman" w:hAnsi="Century Gothic"/>
          <w:sz w:val="24"/>
          <w:szCs w:val="24"/>
          <w:lang w:eastAsia="ru-RU"/>
        </w:rPr>
        <w:t xml:space="preserve">программ (МП). </w:t>
      </w:r>
    </w:p>
    <w:p w:rsidR="00FF3DCB" w:rsidRPr="006D6355" w:rsidRDefault="00FF3DCB" w:rsidP="00390E92">
      <w:pPr>
        <w:spacing w:after="0" w:line="240" w:lineRule="auto"/>
        <w:ind w:right="-1" w:firstLine="567"/>
        <w:jc w:val="center"/>
        <w:rPr>
          <w:rFonts w:ascii="Century Gothic" w:eastAsia="Times New Roman" w:hAnsi="Century Gothic"/>
          <w:sz w:val="24"/>
          <w:szCs w:val="24"/>
          <w:lang w:eastAsia="ru-RU"/>
        </w:rPr>
      </w:pPr>
    </w:p>
    <w:p w:rsidR="006B7AD4" w:rsidRPr="006B7AD4" w:rsidRDefault="008E5675" w:rsidP="00FF3DCB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Реализация 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муниципальных 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>программ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осуществлялась по </w:t>
      </w:r>
      <w:r w:rsidRPr="006D6355">
        <w:rPr>
          <w:rFonts w:ascii="Century Gothic" w:eastAsia="Times New Roman" w:hAnsi="Century Gothic"/>
          <w:b/>
          <w:bCs/>
          <w:sz w:val="24"/>
          <w:szCs w:val="24"/>
          <w:lang w:eastAsia="ru-RU"/>
        </w:rPr>
        <w:t>8 основным направлениям</w:t>
      </w:r>
      <w:r w:rsidRPr="00426E00">
        <w:rPr>
          <w:rFonts w:ascii="Century Gothic" w:eastAsia="Times New Roman" w:hAnsi="Century Gothic"/>
          <w:sz w:val="24"/>
          <w:szCs w:val="24"/>
          <w:lang w:eastAsia="ru-RU"/>
        </w:rPr>
        <w:t>:</w:t>
      </w:r>
    </w:p>
    <w:p w:rsidR="00FF3DCB" w:rsidRPr="00FF3DCB" w:rsidRDefault="00FF3DCB" w:rsidP="00FF3DCB">
      <w:pPr>
        <w:pStyle w:val="a6"/>
        <w:numPr>
          <w:ilvl w:val="3"/>
          <w:numId w:val="2"/>
        </w:numPr>
        <w:spacing w:after="0" w:line="240" w:lineRule="auto"/>
        <w:ind w:left="567" w:right="-1" w:hanging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FF3DCB">
        <w:rPr>
          <w:rFonts w:ascii="Century Gothic" w:eastAsia="Times New Roman" w:hAnsi="Century Gothic"/>
          <w:b/>
          <w:sz w:val="24"/>
          <w:szCs w:val="24"/>
          <w:lang w:eastAsia="ru-RU"/>
        </w:rPr>
        <w:t>образование, физическая культура и спорт, молодежная политика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 – 3 программы</w:t>
      </w:r>
      <w:r w:rsidR="00390676">
        <w:rPr>
          <w:rFonts w:ascii="Century Gothic" w:eastAsia="Times New Roman" w:hAnsi="Century Gothic"/>
          <w:sz w:val="24"/>
          <w:szCs w:val="24"/>
          <w:lang w:eastAsia="ru-RU"/>
        </w:rPr>
        <w:t xml:space="preserve"> (План </w:t>
      </w:r>
      <w:r w:rsidR="007C3B2E">
        <w:rPr>
          <w:rFonts w:ascii="Century Gothic" w:eastAsia="Times New Roman" w:hAnsi="Century Gothic"/>
          <w:sz w:val="24"/>
          <w:szCs w:val="24"/>
          <w:lang w:eastAsia="ru-RU"/>
        </w:rPr>
        <w:t>3310,29</w:t>
      </w:r>
      <w:r w:rsidR="00390676">
        <w:rPr>
          <w:rFonts w:ascii="Century Gothic" w:eastAsia="Times New Roman" w:hAnsi="Century Gothic"/>
          <w:sz w:val="24"/>
          <w:szCs w:val="24"/>
          <w:lang w:eastAsia="ru-RU"/>
        </w:rPr>
        <w:t xml:space="preserve"> млн</w:t>
      </w:r>
      <w:proofErr w:type="gramStart"/>
      <w:r w:rsidR="00390676">
        <w:rPr>
          <w:rFonts w:ascii="Century Gothic" w:eastAsia="Times New Roman" w:hAnsi="Century Gothic"/>
          <w:sz w:val="24"/>
          <w:szCs w:val="24"/>
          <w:lang w:eastAsia="ru-RU"/>
        </w:rPr>
        <w:t>.р</w:t>
      </w:r>
      <w:proofErr w:type="gramEnd"/>
      <w:r w:rsidR="00390676">
        <w:rPr>
          <w:rFonts w:ascii="Century Gothic" w:eastAsia="Times New Roman" w:hAnsi="Century Gothic"/>
          <w:sz w:val="24"/>
          <w:szCs w:val="24"/>
          <w:lang w:eastAsia="ru-RU"/>
        </w:rPr>
        <w:t xml:space="preserve">уб. Факт </w:t>
      </w:r>
      <w:r w:rsidR="007C3B2E">
        <w:rPr>
          <w:rFonts w:ascii="Century Gothic" w:eastAsia="Times New Roman" w:hAnsi="Century Gothic"/>
          <w:sz w:val="24"/>
          <w:szCs w:val="24"/>
          <w:lang w:eastAsia="ru-RU"/>
        </w:rPr>
        <w:t>3271,78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 млн.руб.</w:t>
      </w:r>
      <w:r w:rsidR="00390676">
        <w:rPr>
          <w:rFonts w:ascii="Century Gothic" w:eastAsia="Times New Roman" w:hAnsi="Century Gothic"/>
          <w:sz w:val="24"/>
          <w:szCs w:val="24"/>
          <w:lang w:eastAsia="ru-RU"/>
        </w:rPr>
        <w:t xml:space="preserve"> – </w:t>
      </w:r>
      <w:r w:rsidR="00DB3F4F">
        <w:rPr>
          <w:rFonts w:ascii="Century Gothic" w:eastAsia="Times New Roman" w:hAnsi="Century Gothic"/>
          <w:sz w:val="24"/>
          <w:szCs w:val="24"/>
          <w:lang w:eastAsia="ru-RU"/>
        </w:rPr>
        <w:t>98,84</w:t>
      </w:r>
      <w:r w:rsidR="00390676">
        <w:rPr>
          <w:rFonts w:ascii="Century Gothic" w:eastAsia="Times New Roman" w:hAnsi="Century Gothic"/>
          <w:sz w:val="24"/>
          <w:szCs w:val="24"/>
          <w:lang w:eastAsia="ru-RU"/>
        </w:rPr>
        <w:t>%</w:t>
      </w:r>
      <w:r>
        <w:rPr>
          <w:rFonts w:ascii="Century Gothic" w:eastAsia="Times New Roman" w:hAnsi="Century Gothic"/>
          <w:sz w:val="24"/>
          <w:szCs w:val="24"/>
          <w:lang w:eastAsia="ru-RU"/>
        </w:rPr>
        <w:t>)</w:t>
      </w:r>
    </w:p>
    <w:p w:rsidR="008E5675" w:rsidRPr="006B7AD4" w:rsidRDefault="008E5675" w:rsidP="00FF3DCB">
      <w:pPr>
        <w:pStyle w:val="a6"/>
        <w:numPr>
          <w:ilvl w:val="3"/>
          <w:numId w:val="2"/>
        </w:numPr>
        <w:spacing w:after="0" w:line="240" w:lineRule="auto"/>
        <w:ind w:left="567" w:right="-1" w:hanging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6B7AD4">
        <w:rPr>
          <w:rFonts w:ascii="Century Gothic" w:eastAsia="Times New Roman" w:hAnsi="Century Gothic"/>
          <w:b/>
          <w:sz w:val="24"/>
          <w:szCs w:val="24"/>
          <w:lang w:eastAsia="ru-RU"/>
        </w:rPr>
        <w:t xml:space="preserve">социальная </w:t>
      </w:r>
      <w:r w:rsidR="003829B1">
        <w:rPr>
          <w:rFonts w:ascii="Century Gothic" w:eastAsia="Times New Roman" w:hAnsi="Century Gothic"/>
          <w:b/>
          <w:sz w:val="24"/>
          <w:szCs w:val="24"/>
          <w:lang w:eastAsia="ru-RU"/>
        </w:rPr>
        <w:t>поддержка</w:t>
      </w:r>
      <w:r w:rsidRPr="006B7AD4">
        <w:rPr>
          <w:rFonts w:ascii="Century Gothic" w:eastAsia="Times New Roman" w:hAnsi="Century Gothic"/>
          <w:b/>
          <w:sz w:val="24"/>
          <w:szCs w:val="24"/>
          <w:lang w:eastAsia="ru-RU"/>
        </w:rPr>
        <w:t xml:space="preserve"> населения</w:t>
      </w:r>
      <w:r w:rsidR="00F56DB8" w:rsidRPr="006B7AD4">
        <w:rPr>
          <w:rFonts w:ascii="Century Gothic" w:eastAsia="Times New Roman" w:hAnsi="Century Gothic"/>
          <w:b/>
          <w:sz w:val="24"/>
          <w:szCs w:val="24"/>
          <w:lang w:eastAsia="ru-RU"/>
        </w:rPr>
        <w:t xml:space="preserve"> </w:t>
      </w:r>
      <w:r w:rsidRPr="006B7AD4">
        <w:rPr>
          <w:rFonts w:ascii="Century Gothic" w:eastAsia="Times New Roman" w:hAnsi="Century Gothic"/>
          <w:sz w:val="24"/>
          <w:szCs w:val="24"/>
          <w:lang w:eastAsia="ru-RU"/>
        </w:rPr>
        <w:t xml:space="preserve">– </w:t>
      </w:r>
      <w:r w:rsidR="004B68FE">
        <w:rPr>
          <w:rFonts w:ascii="Century Gothic" w:eastAsia="Times New Roman" w:hAnsi="Century Gothic"/>
          <w:sz w:val="24"/>
          <w:szCs w:val="24"/>
          <w:lang w:eastAsia="ru-RU"/>
        </w:rPr>
        <w:t>1</w:t>
      </w:r>
      <w:r w:rsidRPr="006B7AD4">
        <w:rPr>
          <w:rFonts w:ascii="Century Gothic" w:eastAsia="Times New Roman" w:hAnsi="Century Gothic"/>
          <w:sz w:val="24"/>
          <w:szCs w:val="24"/>
          <w:lang w:eastAsia="ru-RU"/>
        </w:rPr>
        <w:t xml:space="preserve"> программ</w:t>
      </w:r>
      <w:r w:rsidR="004B68FE">
        <w:rPr>
          <w:rFonts w:ascii="Century Gothic" w:eastAsia="Times New Roman" w:hAnsi="Century Gothic"/>
          <w:sz w:val="24"/>
          <w:szCs w:val="24"/>
          <w:lang w:eastAsia="ru-RU"/>
        </w:rPr>
        <w:t>а</w:t>
      </w:r>
      <w:r w:rsidRPr="006B7AD4">
        <w:rPr>
          <w:rFonts w:ascii="Century Gothic" w:eastAsia="Times New Roman" w:hAnsi="Century Gothic"/>
          <w:sz w:val="24"/>
          <w:szCs w:val="24"/>
          <w:lang w:eastAsia="ru-RU"/>
        </w:rPr>
        <w:t xml:space="preserve"> (План </w:t>
      </w:r>
      <w:r w:rsidR="00DB3F4F">
        <w:rPr>
          <w:rFonts w:ascii="Century Gothic" w:eastAsia="Times New Roman" w:hAnsi="Century Gothic"/>
          <w:sz w:val="24"/>
          <w:szCs w:val="24"/>
          <w:lang w:eastAsia="ru-RU"/>
        </w:rPr>
        <w:t>1676,98</w:t>
      </w:r>
      <w:r w:rsidRPr="006B7AD4">
        <w:rPr>
          <w:rFonts w:ascii="Century Gothic" w:eastAsia="Times New Roman" w:hAnsi="Century Gothic"/>
          <w:sz w:val="24"/>
          <w:szCs w:val="24"/>
          <w:lang w:eastAsia="ru-RU"/>
        </w:rPr>
        <w:t xml:space="preserve"> млн. руб. Факт </w:t>
      </w:r>
      <w:r w:rsidR="00DB3F4F">
        <w:rPr>
          <w:rFonts w:ascii="Century Gothic" w:eastAsia="Times New Roman" w:hAnsi="Century Gothic"/>
          <w:sz w:val="24"/>
          <w:szCs w:val="24"/>
          <w:lang w:eastAsia="ru-RU"/>
        </w:rPr>
        <w:t>1657,54</w:t>
      </w:r>
      <w:r w:rsidRPr="006B7AD4">
        <w:rPr>
          <w:rFonts w:ascii="Century Gothic" w:eastAsia="Times New Roman" w:hAnsi="Century Gothic"/>
          <w:sz w:val="24"/>
          <w:szCs w:val="24"/>
          <w:lang w:eastAsia="ru-RU"/>
        </w:rPr>
        <w:t xml:space="preserve"> млн. руб. – </w:t>
      </w:r>
      <w:r w:rsidR="00DB3F4F">
        <w:rPr>
          <w:rFonts w:ascii="Century Gothic" w:eastAsia="Times New Roman" w:hAnsi="Century Gothic"/>
          <w:sz w:val="24"/>
          <w:szCs w:val="24"/>
          <w:lang w:eastAsia="ru-RU"/>
        </w:rPr>
        <w:t>98,84</w:t>
      </w:r>
      <w:r w:rsidR="00B806DB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Pr="006B7AD4">
        <w:rPr>
          <w:rFonts w:ascii="Century Gothic" w:eastAsia="Times New Roman" w:hAnsi="Century Gothic"/>
          <w:sz w:val="24"/>
          <w:szCs w:val="24"/>
          <w:lang w:eastAsia="ru-RU"/>
        </w:rPr>
        <w:t>%);</w:t>
      </w:r>
    </w:p>
    <w:p w:rsidR="008E5675" w:rsidRPr="006D6355" w:rsidRDefault="008E5675" w:rsidP="00FF3DCB">
      <w:pPr>
        <w:numPr>
          <w:ilvl w:val="3"/>
          <w:numId w:val="2"/>
        </w:numPr>
        <w:spacing w:after="0" w:line="240" w:lineRule="auto"/>
        <w:ind w:left="567" w:right="-1" w:hanging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6D6355">
        <w:rPr>
          <w:rFonts w:ascii="Century Gothic" w:eastAsia="Times New Roman" w:hAnsi="Century Gothic"/>
          <w:b/>
          <w:sz w:val="24"/>
          <w:szCs w:val="24"/>
          <w:lang w:eastAsia="ru-RU"/>
        </w:rPr>
        <w:t>культура и туризм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– </w:t>
      </w:r>
      <w:r w:rsidR="00050FBC">
        <w:rPr>
          <w:rFonts w:ascii="Century Gothic" w:eastAsia="Times New Roman" w:hAnsi="Century Gothic"/>
          <w:sz w:val="24"/>
          <w:szCs w:val="24"/>
          <w:lang w:eastAsia="ru-RU"/>
        </w:rPr>
        <w:t>1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 программ</w:t>
      </w:r>
      <w:r w:rsidR="00050FBC">
        <w:rPr>
          <w:rFonts w:ascii="Century Gothic" w:eastAsia="Times New Roman" w:hAnsi="Century Gothic"/>
          <w:sz w:val="24"/>
          <w:szCs w:val="24"/>
          <w:lang w:eastAsia="ru-RU"/>
        </w:rPr>
        <w:t>а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(План </w:t>
      </w:r>
      <w:r w:rsidR="00DB3F4F">
        <w:rPr>
          <w:rFonts w:ascii="Century Gothic" w:eastAsia="Times New Roman" w:hAnsi="Century Gothic"/>
          <w:sz w:val="24"/>
          <w:szCs w:val="24"/>
          <w:lang w:eastAsia="ru-RU"/>
        </w:rPr>
        <w:t>323,35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млн. руб. Факт </w:t>
      </w:r>
      <w:r w:rsidR="00DB3F4F">
        <w:rPr>
          <w:rFonts w:ascii="Century Gothic" w:eastAsia="Times New Roman" w:hAnsi="Century Gothic"/>
          <w:sz w:val="24"/>
          <w:szCs w:val="24"/>
          <w:lang w:eastAsia="ru-RU"/>
        </w:rPr>
        <w:t>322,25</w:t>
      </w:r>
      <w:r w:rsidR="00B806DB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>млн. руб.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 – </w:t>
      </w:r>
      <w:r w:rsidR="00DB3F4F">
        <w:rPr>
          <w:rFonts w:ascii="Century Gothic" w:eastAsia="Times New Roman" w:hAnsi="Century Gothic"/>
          <w:sz w:val="24"/>
          <w:szCs w:val="24"/>
          <w:lang w:eastAsia="ru-RU"/>
        </w:rPr>
        <w:t>99,66</w:t>
      </w:r>
      <w:r>
        <w:rPr>
          <w:rFonts w:ascii="Century Gothic" w:eastAsia="Times New Roman" w:hAnsi="Century Gothic"/>
          <w:sz w:val="24"/>
          <w:szCs w:val="24"/>
          <w:lang w:eastAsia="ru-RU"/>
        </w:rPr>
        <w:t>%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>);</w:t>
      </w:r>
    </w:p>
    <w:p w:rsidR="008E5675" w:rsidRPr="006D6355" w:rsidRDefault="008E5675" w:rsidP="00FF3DCB">
      <w:pPr>
        <w:numPr>
          <w:ilvl w:val="3"/>
          <w:numId w:val="2"/>
        </w:numPr>
        <w:spacing w:after="0" w:line="240" w:lineRule="auto"/>
        <w:ind w:left="567" w:right="-1" w:hanging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80143B">
        <w:rPr>
          <w:rFonts w:ascii="Century Gothic" w:eastAsia="Times New Roman" w:hAnsi="Century Gothic"/>
          <w:b/>
          <w:sz w:val="24"/>
          <w:szCs w:val="24"/>
          <w:lang w:eastAsia="ru-RU"/>
        </w:rPr>
        <w:t>жилищно-коммунальное хозяйство</w:t>
      </w:r>
      <w:r w:rsidR="004B68FE" w:rsidRPr="0080143B">
        <w:rPr>
          <w:rFonts w:ascii="Century Gothic" w:eastAsia="Times New Roman" w:hAnsi="Century Gothic"/>
          <w:b/>
          <w:sz w:val="24"/>
          <w:szCs w:val="24"/>
          <w:lang w:eastAsia="ru-RU"/>
        </w:rPr>
        <w:t>,</w:t>
      </w:r>
      <w:r w:rsidR="003829B1" w:rsidRPr="0080143B">
        <w:rPr>
          <w:rFonts w:ascii="Century Gothic" w:eastAsia="Times New Roman" w:hAnsi="Century Gothic"/>
          <w:b/>
          <w:sz w:val="24"/>
          <w:szCs w:val="24"/>
          <w:lang w:eastAsia="ru-RU"/>
        </w:rPr>
        <w:t xml:space="preserve"> </w:t>
      </w:r>
      <w:r w:rsidR="004B68FE" w:rsidRPr="0080143B">
        <w:rPr>
          <w:rFonts w:ascii="Century Gothic" w:eastAsia="Times New Roman" w:hAnsi="Century Gothic"/>
          <w:b/>
          <w:sz w:val="24"/>
          <w:szCs w:val="24"/>
          <w:lang w:eastAsia="ru-RU"/>
        </w:rPr>
        <w:t>инфраструктура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– </w:t>
      </w:r>
      <w:r w:rsidR="00DB3F4F">
        <w:rPr>
          <w:rFonts w:ascii="Century Gothic" w:eastAsia="Times New Roman" w:hAnsi="Century Gothic"/>
          <w:sz w:val="24"/>
          <w:szCs w:val="24"/>
          <w:lang w:eastAsia="ru-RU"/>
        </w:rPr>
        <w:t xml:space="preserve">7 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программ (План </w:t>
      </w:r>
      <w:r w:rsidR="00DB3F4F">
        <w:rPr>
          <w:rFonts w:ascii="Century Gothic" w:eastAsia="Times New Roman" w:hAnsi="Century Gothic"/>
          <w:sz w:val="24"/>
          <w:szCs w:val="24"/>
          <w:lang w:eastAsia="ru-RU"/>
        </w:rPr>
        <w:t>1264,80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млн</w:t>
      </w:r>
      <w:proofErr w:type="gramStart"/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>.р</w:t>
      </w:r>
      <w:proofErr w:type="gramEnd"/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уб.; Факт </w:t>
      </w:r>
      <w:r w:rsidR="00DB3F4F">
        <w:rPr>
          <w:rFonts w:ascii="Century Gothic" w:eastAsia="Times New Roman" w:hAnsi="Century Gothic"/>
          <w:sz w:val="24"/>
          <w:szCs w:val="24"/>
          <w:lang w:eastAsia="ru-RU"/>
        </w:rPr>
        <w:t>1138,36</w:t>
      </w:r>
      <w:r w:rsidR="0080143B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>млн. руб.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 – </w:t>
      </w:r>
      <w:r w:rsidR="00DB3F4F">
        <w:rPr>
          <w:rFonts w:ascii="Century Gothic" w:eastAsia="Times New Roman" w:hAnsi="Century Gothic"/>
          <w:sz w:val="24"/>
          <w:szCs w:val="24"/>
          <w:lang w:eastAsia="ru-RU"/>
        </w:rPr>
        <w:t>90</w:t>
      </w:r>
      <w:r w:rsidR="00B806DB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>
        <w:rPr>
          <w:rFonts w:ascii="Century Gothic" w:eastAsia="Times New Roman" w:hAnsi="Century Gothic"/>
          <w:sz w:val="24"/>
          <w:szCs w:val="24"/>
          <w:lang w:eastAsia="ru-RU"/>
        </w:rPr>
        <w:t>%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>)</w:t>
      </w:r>
    </w:p>
    <w:p w:rsidR="004B68FE" w:rsidRPr="006D6355" w:rsidRDefault="008E5675" w:rsidP="00FF3DCB">
      <w:pPr>
        <w:numPr>
          <w:ilvl w:val="3"/>
          <w:numId w:val="2"/>
        </w:numPr>
        <w:spacing w:after="0" w:line="240" w:lineRule="auto"/>
        <w:ind w:left="567" w:right="-1" w:hanging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6D6355">
        <w:rPr>
          <w:rFonts w:ascii="Century Gothic" w:eastAsia="Times New Roman" w:hAnsi="Century Gothic"/>
          <w:b/>
          <w:sz w:val="24"/>
          <w:szCs w:val="24"/>
          <w:lang w:eastAsia="ru-RU"/>
        </w:rPr>
        <w:t>содействие экономическому развитию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– </w:t>
      </w:r>
      <w:r w:rsidR="00050FBC">
        <w:rPr>
          <w:rFonts w:ascii="Century Gothic" w:eastAsia="Times New Roman" w:hAnsi="Century Gothic"/>
          <w:sz w:val="24"/>
          <w:szCs w:val="24"/>
          <w:lang w:eastAsia="ru-RU"/>
        </w:rPr>
        <w:t>3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программ</w:t>
      </w:r>
      <w:r w:rsidR="004B68FE">
        <w:rPr>
          <w:rFonts w:ascii="Century Gothic" w:eastAsia="Times New Roman" w:hAnsi="Century Gothic"/>
          <w:sz w:val="24"/>
          <w:szCs w:val="24"/>
          <w:lang w:eastAsia="ru-RU"/>
        </w:rPr>
        <w:t>ы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(</w:t>
      </w:r>
      <w:r w:rsidR="004B68FE"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План </w:t>
      </w:r>
      <w:r w:rsidR="00DB3F4F">
        <w:rPr>
          <w:rFonts w:ascii="Century Gothic" w:eastAsia="Times New Roman" w:hAnsi="Century Gothic"/>
          <w:sz w:val="24"/>
          <w:szCs w:val="24"/>
          <w:lang w:eastAsia="ru-RU"/>
        </w:rPr>
        <w:t>3,</w:t>
      </w:r>
      <w:r w:rsidR="00822310">
        <w:rPr>
          <w:rFonts w:ascii="Century Gothic" w:eastAsia="Times New Roman" w:hAnsi="Century Gothic"/>
          <w:sz w:val="24"/>
          <w:szCs w:val="24"/>
          <w:lang w:eastAsia="ru-RU"/>
        </w:rPr>
        <w:t>53</w:t>
      </w:r>
      <w:r w:rsidR="004B68FE"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млн</w:t>
      </w:r>
      <w:proofErr w:type="gramStart"/>
      <w:r w:rsidR="004B68FE" w:rsidRPr="006D6355">
        <w:rPr>
          <w:rFonts w:ascii="Century Gothic" w:eastAsia="Times New Roman" w:hAnsi="Century Gothic"/>
          <w:sz w:val="24"/>
          <w:szCs w:val="24"/>
          <w:lang w:eastAsia="ru-RU"/>
        </w:rPr>
        <w:t>.р</w:t>
      </w:r>
      <w:proofErr w:type="gramEnd"/>
      <w:r w:rsidR="004B68FE"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уб.; Факт </w:t>
      </w:r>
      <w:r w:rsidR="00822310">
        <w:rPr>
          <w:rFonts w:ascii="Century Gothic" w:eastAsia="Times New Roman" w:hAnsi="Century Gothic"/>
          <w:sz w:val="24"/>
          <w:szCs w:val="24"/>
          <w:lang w:eastAsia="ru-RU"/>
        </w:rPr>
        <w:t>3,53</w:t>
      </w:r>
      <w:r w:rsidR="004B68FE"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млн. руб.</w:t>
      </w:r>
      <w:r w:rsidR="004B68FE">
        <w:rPr>
          <w:rFonts w:ascii="Century Gothic" w:eastAsia="Times New Roman" w:hAnsi="Century Gothic"/>
          <w:sz w:val="24"/>
          <w:szCs w:val="24"/>
          <w:lang w:eastAsia="ru-RU"/>
        </w:rPr>
        <w:t xml:space="preserve"> – </w:t>
      </w:r>
      <w:r w:rsidR="00822310">
        <w:rPr>
          <w:rFonts w:ascii="Century Gothic" w:eastAsia="Times New Roman" w:hAnsi="Century Gothic"/>
          <w:sz w:val="24"/>
          <w:szCs w:val="24"/>
          <w:lang w:eastAsia="ru-RU"/>
        </w:rPr>
        <w:t>100</w:t>
      </w:r>
      <w:r w:rsidR="00B806DB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="004B68FE">
        <w:rPr>
          <w:rFonts w:ascii="Century Gothic" w:eastAsia="Times New Roman" w:hAnsi="Century Gothic"/>
          <w:sz w:val="24"/>
          <w:szCs w:val="24"/>
          <w:lang w:eastAsia="ru-RU"/>
        </w:rPr>
        <w:t>%</w:t>
      </w:r>
      <w:r w:rsidR="004B68FE" w:rsidRPr="006D6355">
        <w:rPr>
          <w:rFonts w:ascii="Century Gothic" w:eastAsia="Times New Roman" w:hAnsi="Century Gothic"/>
          <w:sz w:val="24"/>
          <w:szCs w:val="24"/>
          <w:lang w:eastAsia="ru-RU"/>
        </w:rPr>
        <w:t>)</w:t>
      </w:r>
    </w:p>
    <w:p w:rsidR="008E5675" w:rsidRPr="004B68FE" w:rsidRDefault="008E5675" w:rsidP="00FF3DCB">
      <w:pPr>
        <w:numPr>
          <w:ilvl w:val="3"/>
          <w:numId w:val="2"/>
        </w:numPr>
        <w:spacing w:after="0" w:line="240" w:lineRule="auto"/>
        <w:ind w:left="567" w:right="-1" w:hanging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4B68FE">
        <w:rPr>
          <w:rFonts w:ascii="Century Gothic" w:eastAsia="Times New Roman" w:hAnsi="Century Gothic"/>
          <w:b/>
          <w:sz w:val="24"/>
          <w:szCs w:val="24"/>
          <w:lang w:eastAsia="ru-RU"/>
        </w:rPr>
        <w:t>обеспечение доступным и комфортным жильем</w:t>
      </w:r>
      <w:r w:rsidRPr="004B68FE">
        <w:rPr>
          <w:rFonts w:ascii="Century Gothic" w:eastAsia="Times New Roman" w:hAnsi="Century Gothic"/>
          <w:sz w:val="24"/>
          <w:szCs w:val="24"/>
          <w:lang w:eastAsia="ru-RU"/>
        </w:rPr>
        <w:t xml:space="preserve"> – </w:t>
      </w:r>
      <w:r w:rsidR="00461A54">
        <w:rPr>
          <w:rFonts w:ascii="Century Gothic" w:eastAsia="Times New Roman" w:hAnsi="Century Gothic"/>
          <w:sz w:val="24"/>
          <w:szCs w:val="24"/>
          <w:lang w:eastAsia="ru-RU"/>
        </w:rPr>
        <w:t>2</w:t>
      </w:r>
      <w:r w:rsidRPr="004B68FE">
        <w:rPr>
          <w:rFonts w:ascii="Century Gothic" w:eastAsia="Times New Roman" w:hAnsi="Century Gothic"/>
          <w:sz w:val="24"/>
          <w:szCs w:val="24"/>
          <w:lang w:eastAsia="ru-RU"/>
        </w:rPr>
        <w:t xml:space="preserve"> программ</w:t>
      </w:r>
      <w:r w:rsidR="00461A54">
        <w:rPr>
          <w:rFonts w:ascii="Century Gothic" w:eastAsia="Times New Roman" w:hAnsi="Century Gothic"/>
          <w:sz w:val="24"/>
          <w:szCs w:val="24"/>
          <w:lang w:eastAsia="ru-RU"/>
        </w:rPr>
        <w:t>ы</w:t>
      </w:r>
      <w:r w:rsidRPr="004B68FE">
        <w:rPr>
          <w:rFonts w:ascii="Century Gothic" w:eastAsia="Times New Roman" w:hAnsi="Century Gothic"/>
          <w:sz w:val="24"/>
          <w:szCs w:val="24"/>
          <w:lang w:eastAsia="ru-RU"/>
        </w:rPr>
        <w:t xml:space="preserve"> (План </w:t>
      </w:r>
      <w:r w:rsidR="00F642A2">
        <w:rPr>
          <w:rFonts w:ascii="Century Gothic" w:eastAsia="Times New Roman" w:hAnsi="Century Gothic"/>
          <w:sz w:val="24"/>
          <w:szCs w:val="24"/>
          <w:lang w:eastAsia="ru-RU"/>
        </w:rPr>
        <w:t>125,42</w:t>
      </w:r>
      <w:r w:rsidRPr="004B68FE">
        <w:rPr>
          <w:rFonts w:ascii="Century Gothic" w:eastAsia="Times New Roman" w:hAnsi="Century Gothic"/>
          <w:sz w:val="24"/>
          <w:szCs w:val="24"/>
          <w:lang w:eastAsia="ru-RU"/>
        </w:rPr>
        <w:t xml:space="preserve"> млн</w:t>
      </w:r>
      <w:proofErr w:type="gramStart"/>
      <w:r w:rsidRPr="004B68FE">
        <w:rPr>
          <w:rFonts w:ascii="Century Gothic" w:eastAsia="Times New Roman" w:hAnsi="Century Gothic"/>
          <w:sz w:val="24"/>
          <w:szCs w:val="24"/>
          <w:lang w:eastAsia="ru-RU"/>
        </w:rPr>
        <w:t>.р</w:t>
      </w:r>
      <w:proofErr w:type="gramEnd"/>
      <w:r w:rsidRPr="004B68FE">
        <w:rPr>
          <w:rFonts w:ascii="Century Gothic" w:eastAsia="Times New Roman" w:hAnsi="Century Gothic"/>
          <w:sz w:val="24"/>
          <w:szCs w:val="24"/>
          <w:lang w:eastAsia="ru-RU"/>
        </w:rPr>
        <w:t xml:space="preserve">уб. Факт </w:t>
      </w:r>
      <w:r w:rsidR="00F642A2">
        <w:rPr>
          <w:rFonts w:ascii="Century Gothic" w:eastAsia="Times New Roman" w:hAnsi="Century Gothic"/>
          <w:sz w:val="24"/>
          <w:szCs w:val="24"/>
          <w:lang w:eastAsia="ru-RU"/>
        </w:rPr>
        <w:t>92,41</w:t>
      </w:r>
      <w:r w:rsidRPr="004B68FE">
        <w:rPr>
          <w:rFonts w:ascii="Century Gothic" w:eastAsia="Times New Roman" w:hAnsi="Century Gothic"/>
          <w:sz w:val="24"/>
          <w:szCs w:val="24"/>
          <w:lang w:eastAsia="ru-RU"/>
        </w:rPr>
        <w:t xml:space="preserve"> млн.руб. – </w:t>
      </w:r>
      <w:r w:rsidR="00F642A2">
        <w:rPr>
          <w:rFonts w:ascii="Century Gothic" w:eastAsia="Times New Roman" w:hAnsi="Century Gothic"/>
          <w:sz w:val="24"/>
          <w:szCs w:val="24"/>
          <w:lang w:eastAsia="ru-RU"/>
        </w:rPr>
        <w:t>73,68</w:t>
      </w:r>
      <w:r w:rsidR="00B806DB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Pr="004B68FE">
        <w:rPr>
          <w:rFonts w:ascii="Century Gothic" w:eastAsia="Times New Roman" w:hAnsi="Century Gothic"/>
          <w:sz w:val="24"/>
          <w:szCs w:val="24"/>
          <w:lang w:eastAsia="ru-RU"/>
        </w:rPr>
        <w:t>%)</w:t>
      </w:r>
      <w:r w:rsidR="00461A54">
        <w:rPr>
          <w:rFonts w:ascii="Century Gothic" w:eastAsia="Times New Roman" w:hAnsi="Century Gothic"/>
          <w:sz w:val="24"/>
          <w:szCs w:val="24"/>
          <w:lang w:eastAsia="ru-RU"/>
        </w:rPr>
        <w:t>;</w:t>
      </w:r>
    </w:p>
    <w:p w:rsidR="008E5675" w:rsidRPr="006D6355" w:rsidRDefault="008E5675" w:rsidP="00FF3DCB">
      <w:pPr>
        <w:numPr>
          <w:ilvl w:val="3"/>
          <w:numId w:val="2"/>
        </w:numPr>
        <w:spacing w:after="0" w:line="240" w:lineRule="auto"/>
        <w:ind w:left="567" w:right="-1" w:hanging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6D6355">
        <w:rPr>
          <w:rFonts w:ascii="Century Gothic" w:eastAsia="Times New Roman" w:hAnsi="Century Gothic"/>
          <w:b/>
          <w:sz w:val="24"/>
          <w:szCs w:val="24"/>
          <w:lang w:eastAsia="ru-RU"/>
        </w:rPr>
        <w:t>безопасность жизнедеятельности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– 2 программы (План </w:t>
      </w:r>
      <w:r w:rsidR="00F642A2">
        <w:rPr>
          <w:rFonts w:ascii="Century Gothic" w:eastAsia="Times New Roman" w:hAnsi="Century Gothic"/>
          <w:sz w:val="24"/>
          <w:szCs w:val="24"/>
          <w:lang w:eastAsia="ru-RU"/>
        </w:rPr>
        <w:t>18,95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>млн</w:t>
      </w:r>
      <w:proofErr w:type="gramStart"/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>.р</w:t>
      </w:r>
      <w:proofErr w:type="gramEnd"/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уб. Факт </w:t>
      </w:r>
      <w:r w:rsidR="00F642A2">
        <w:rPr>
          <w:rFonts w:ascii="Century Gothic" w:eastAsia="Times New Roman" w:hAnsi="Century Gothic"/>
          <w:sz w:val="24"/>
          <w:szCs w:val="24"/>
          <w:lang w:eastAsia="ru-RU"/>
        </w:rPr>
        <w:t>18,95</w:t>
      </w:r>
      <w:r w:rsidR="009C0C1B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млн.руб.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 – </w:t>
      </w:r>
      <w:r w:rsidR="00F642A2">
        <w:rPr>
          <w:rFonts w:ascii="Century Gothic" w:eastAsia="Times New Roman" w:hAnsi="Century Gothic"/>
          <w:sz w:val="24"/>
          <w:szCs w:val="24"/>
          <w:lang w:eastAsia="ru-RU"/>
        </w:rPr>
        <w:t xml:space="preserve">100 </w:t>
      </w:r>
      <w:r w:rsidR="00390676">
        <w:rPr>
          <w:rFonts w:ascii="Century Gothic" w:eastAsia="Times New Roman" w:hAnsi="Century Gothic"/>
          <w:sz w:val="24"/>
          <w:szCs w:val="24"/>
          <w:lang w:eastAsia="ru-RU"/>
        </w:rPr>
        <w:t>%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>);</w:t>
      </w:r>
    </w:p>
    <w:p w:rsidR="008E5675" w:rsidRDefault="00F3366D" w:rsidP="00FF3DCB">
      <w:pPr>
        <w:numPr>
          <w:ilvl w:val="3"/>
          <w:numId w:val="2"/>
        </w:numPr>
        <w:spacing w:after="0" w:line="240" w:lineRule="auto"/>
        <w:ind w:left="567" w:right="-1" w:hanging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>
        <w:rPr>
          <w:rFonts w:ascii="Century Gothic" w:eastAsia="Times New Roman" w:hAnsi="Century Gothic"/>
          <w:b/>
          <w:sz w:val="24"/>
          <w:szCs w:val="24"/>
          <w:lang w:eastAsia="ru-RU"/>
        </w:rPr>
        <w:t xml:space="preserve">организация </w:t>
      </w:r>
      <w:r w:rsidR="008E5675" w:rsidRPr="006D6355">
        <w:rPr>
          <w:rFonts w:ascii="Century Gothic" w:eastAsia="Times New Roman" w:hAnsi="Century Gothic"/>
          <w:b/>
          <w:sz w:val="24"/>
          <w:szCs w:val="24"/>
          <w:lang w:eastAsia="ru-RU"/>
        </w:rPr>
        <w:t>муниципально</w:t>
      </w:r>
      <w:r>
        <w:rPr>
          <w:rFonts w:ascii="Century Gothic" w:eastAsia="Times New Roman" w:hAnsi="Century Gothic"/>
          <w:b/>
          <w:sz w:val="24"/>
          <w:szCs w:val="24"/>
          <w:lang w:eastAsia="ru-RU"/>
        </w:rPr>
        <w:t>го</w:t>
      </w:r>
      <w:r w:rsidR="008E5675" w:rsidRPr="006D6355">
        <w:rPr>
          <w:rFonts w:ascii="Century Gothic" w:eastAsia="Times New Roman" w:hAnsi="Century Gothic"/>
          <w:b/>
          <w:sz w:val="24"/>
          <w:szCs w:val="24"/>
          <w:lang w:eastAsia="ru-RU"/>
        </w:rPr>
        <w:t xml:space="preserve"> управлени</w:t>
      </w:r>
      <w:r w:rsidR="00971CFA">
        <w:rPr>
          <w:rFonts w:ascii="Century Gothic" w:eastAsia="Times New Roman" w:hAnsi="Century Gothic"/>
          <w:b/>
          <w:sz w:val="24"/>
          <w:szCs w:val="24"/>
          <w:lang w:eastAsia="ru-RU"/>
        </w:rPr>
        <w:t>я</w:t>
      </w:r>
      <w:r w:rsidR="008E5675"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– </w:t>
      </w:r>
      <w:r w:rsidR="00F642A2">
        <w:rPr>
          <w:rFonts w:ascii="Century Gothic" w:eastAsia="Times New Roman" w:hAnsi="Century Gothic"/>
          <w:sz w:val="24"/>
          <w:szCs w:val="24"/>
          <w:lang w:eastAsia="ru-RU"/>
        </w:rPr>
        <w:t>4</w:t>
      </w:r>
      <w:r w:rsidR="008E5675"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про</w:t>
      </w:r>
      <w:r w:rsidR="008E5675">
        <w:rPr>
          <w:rFonts w:ascii="Century Gothic" w:eastAsia="Times New Roman" w:hAnsi="Century Gothic"/>
          <w:sz w:val="24"/>
          <w:szCs w:val="24"/>
          <w:lang w:eastAsia="ru-RU"/>
        </w:rPr>
        <w:t>грамм</w:t>
      </w:r>
      <w:r w:rsidR="00F642A2">
        <w:rPr>
          <w:rFonts w:ascii="Century Gothic" w:eastAsia="Times New Roman" w:hAnsi="Century Gothic"/>
          <w:sz w:val="24"/>
          <w:szCs w:val="24"/>
          <w:lang w:eastAsia="ru-RU"/>
        </w:rPr>
        <w:t>ы</w:t>
      </w:r>
      <w:r w:rsidR="008E5675"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(План </w:t>
      </w:r>
      <w:r w:rsidR="00F642A2">
        <w:rPr>
          <w:rFonts w:ascii="Century Gothic" w:eastAsia="Times New Roman" w:hAnsi="Century Gothic"/>
          <w:sz w:val="24"/>
          <w:szCs w:val="24"/>
          <w:lang w:eastAsia="ru-RU"/>
        </w:rPr>
        <w:t>137,93</w:t>
      </w:r>
      <w:r w:rsidR="008E5675"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млн</w:t>
      </w:r>
      <w:proofErr w:type="gramStart"/>
      <w:r w:rsidR="008E5675" w:rsidRPr="006D6355">
        <w:rPr>
          <w:rFonts w:ascii="Century Gothic" w:eastAsia="Times New Roman" w:hAnsi="Century Gothic"/>
          <w:sz w:val="24"/>
          <w:szCs w:val="24"/>
          <w:lang w:eastAsia="ru-RU"/>
        </w:rPr>
        <w:t>.р</w:t>
      </w:r>
      <w:proofErr w:type="gramEnd"/>
      <w:r w:rsidR="008E5675"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уб. Факт </w:t>
      </w:r>
      <w:r w:rsidR="00F642A2">
        <w:rPr>
          <w:rFonts w:ascii="Century Gothic" w:eastAsia="Times New Roman" w:hAnsi="Century Gothic"/>
          <w:sz w:val="24"/>
          <w:szCs w:val="24"/>
          <w:lang w:eastAsia="ru-RU"/>
        </w:rPr>
        <w:t>137,05</w:t>
      </w:r>
      <w:r w:rsidR="008E5675"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млн.руб.</w:t>
      </w:r>
      <w:r w:rsidR="008E5675">
        <w:rPr>
          <w:rFonts w:ascii="Century Gothic" w:eastAsia="Times New Roman" w:hAnsi="Century Gothic"/>
          <w:sz w:val="24"/>
          <w:szCs w:val="24"/>
          <w:lang w:eastAsia="ru-RU"/>
        </w:rPr>
        <w:t xml:space="preserve"> – </w:t>
      </w:r>
      <w:r w:rsidR="00F642A2">
        <w:rPr>
          <w:rFonts w:ascii="Century Gothic" w:eastAsia="Times New Roman" w:hAnsi="Century Gothic"/>
          <w:sz w:val="24"/>
          <w:szCs w:val="24"/>
          <w:lang w:eastAsia="ru-RU"/>
        </w:rPr>
        <w:t>99,36</w:t>
      </w:r>
      <w:r w:rsidR="008E5675">
        <w:rPr>
          <w:rFonts w:ascii="Century Gothic" w:eastAsia="Times New Roman" w:hAnsi="Century Gothic"/>
          <w:sz w:val="24"/>
          <w:szCs w:val="24"/>
          <w:lang w:eastAsia="ru-RU"/>
        </w:rPr>
        <w:t>%</w:t>
      </w:r>
      <w:r w:rsidR="008E5675" w:rsidRPr="006D6355">
        <w:rPr>
          <w:rFonts w:ascii="Century Gothic" w:eastAsia="Times New Roman" w:hAnsi="Century Gothic"/>
          <w:sz w:val="24"/>
          <w:szCs w:val="24"/>
          <w:lang w:eastAsia="ru-RU"/>
        </w:rPr>
        <w:t>).</w:t>
      </w:r>
    </w:p>
    <w:p w:rsidR="001C1D75" w:rsidRDefault="006E3D2C" w:rsidP="001C1D75">
      <w:pPr>
        <w:spacing w:after="0" w:line="240" w:lineRule="auto"/>
        <w:ind w:left="567" w:right="-1"/>
        <w:jc w:val="center"/>
        <w:rPr>
          <w:rFonts w:ascii="Century Gothic" w:eastAsia="Times New Roman" w:hAnsi="Century Gothic"/>
          <w:sz w:val="24"/>
          <w:szCs w:val="24"/>
          <w:lang w:eastAsia="ru-RU"/>
        </w:rPr>
      </w:pPr>
      <w:r w:rsidRPr="006E3D2C">
        <w:rPr>
          <w:rFonts w:ascii="Century Gothic" w:eastAsia="Times New Roman" w:hAnsi="Century Gothic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048250" cy="4486275"/>
            <wp:effectExtent l="19050" t="0" r="0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E5675" w:rsidRPr="006D6355" w:rsidRDefault="00A10395" w:rsidP="00FF3DCB">
      <w:pPr>
        <w:spacing w:after="0" w:line="240" w:lineRule="auto"/>
        <w:ind w:right="-1"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>
        <w:rPr>
          <w:rFonts w:ascii="Century Gothic" w:eastAsia="Times New Roman" w:hAnsi="Century Gothic"/>
          <w:b/>
          <w:i/>
          <w:sz w:val="24"/>
          <w:szCs w:val="24"/>
          <w:lang w:eastAsia="ru-RU"/>
        </w:rPr>
        <w:t>О</w:t>
      </w:r>
      <w:r w:rsidR="008E5675" w:rsidRPr="006D6355">
        <w:rPr>
          <w:rFonts w:ascii="Century Gothic" w:eastAsia="Times New Roman" w:hAnsi="Century Gothic"/>
          <w:b/>
          <w:i/>
          <w:sz w:val="24"/>
          <w:szCs w:val="24"/>
          <w:lang w:eastAsia="ru-RU"/>
        </w:rPr>
        <w:t xml:space="preserve">бъем </w:t>
      </w:r>
      <w:r w:rsidR="009C492B">
        <w:rPr>
          <w:rFonts w:ascii="Century Gothic" w:eastAsia="Times New Roman" w:hAnsi="Century Gothic"/>
          <w:b/>
          <w:i/>
          <w:sz w:val="24"/>
          <w:szCs w:val="24"/>
          <w:lang w:eastAsia="ru-RU"/>
        </w:rPr>
        <w:t>финансирования программ в 20</w:t>
      </w:r>
      <w:r w:rsidR="00971BCD">
        <w:rPr>
          <w:rFonts w:ascii="Century Gothic" w:eastAsia="Times New Roman" w:hAnsi="Century Gothic"/>
          <w:b/>
          <w:i/>
          <w:sz w:val="24"/>
          <w:szCs w:val="24"/>
          <w:lang w:eastAsia="ru-RU"/>
        </w:rPr>
        <w:t>2</w:t>
      </w:r>
      <w:r w:rsidR="001C1D75">
        <w:rPr>
          <w:rFonts w:ascii="Century Gothic" w:eastAsia="Times New Roman" w:hAnsi="Century Gothic"/>
          <w:b/>
          <w:i/>
          <w:sz w:val="24"/>
          <w:szCs w:val="24"/>
          <w:lang w:eastAsia="ru-RU"/>
        </w:rPr>
        <w:t>1</w:t>
      </w:r>
      <w:r w:rsidR="009C492B">
        <w:rPr>
          <w:rFonts w:ascii="Century Gothic" w:eastAsia="Times New Roman" w:hAnsi="Century Gothic"/>
          <w:b/>
          <w:i/>
          <w:sz w:val="24"/>
          <w:szCs w:val="24"/>
          <w:lang w:eastAsia="ru-RU"/>
        </w:rPr>
        <w:t xml:space="preserve"> году</w:t>
      </w:r>
      <w:r w:rsidR="008E5675" w:rsidRPr="006D6355">
        <w:rPr>
          <w:rFonts w:ascii="Century Gothic" w:eastAsia="Times New Roman" w:hAnsi="Century Gothic"/>
          <w:b/>
          <w:i/>
          <w:sz w:val="24"/>
          <w:szCs w:val="24"/>
          <w:lang w:eastAsia="ru-RU"/>
        </w:rPr>
        <w:t xml:space="preserve"> из бюджета города</w:t>
      </w:r>
      <w:r>
        <w:rPr>
          <w:rFonts w:ascii="Century Gothic" w:eastAsia="Times New Roman" w:hAnsi="Century Gothic"/>
          <w:b/>
          <w:i/>
          <w:sz w:val="24"/>
          <w:szCs w:val="24"/>
          <w:lang w:eastAsia="ru-RU"/>
        </w:rPr>
        <w:t xml:space="preserve"> (ассигнования)</w:t>
      </w:r>
      <w:r w:rsidR="008E5675" w:rsidRPr="006D6355">
        <w:rPr>
          <w:rFonts w:ascii="Century Gothic" w:eastAsia="Times New Roman" w:hAnsi="Century Gothic"/>
          <w:b/>
          <w:i/>
          <w:sz w:val="24"/>
          <w:szCs w:val="24"/>
          <w:lang w:eastAsia="ru-RU"/>
        </w:rPr>
        <w:t xml:space="preserve"> составил </w:t>
      </w:r>
      <w:r w:rsidR="001C1D75">
        <w:rPr>
          <w:rFonts w:ascii="Century Gothic" w:eastAsia="Times New Roman" w:hAnsi="Century Gothic"/>
          <w:b/>
          <w:i/>
          <w:sz w:val="24"/>
          <w:szCs w:val="24"/>
          <w:lang w:eastAsia="ru-RU"/>
        </w:rPr>
        <w:t xml:space="preserve">1842,17 </w:t>
      </w:r>
      <w:r w:rsidR="008E5675" w:rsidRPr="006D6355">
        <w:rPr>
          <w:rFonts w:ascii="Century Gothic" w:eastAsia="Times New Roman" w:hAnsi="Century Gothic"/>
          <w:b/>
          <w:i/>
          <w:sz w:val="24"/>
          <w:szCs w:val="24"/>
          <w:lang w:eastAsia="ru-RU"/>
        </w:rPr>
        <w:t>млн</w:t>
      </w:r>
      <w:proofErr w:type="gramStart"/>
      <w:r w:rsidR="008E5675" w:rsidRPr="006D6355">
        <w:rPr>
          <w:rFonts w:ascii="Century Gothic" w:eastAsia="Times New Roman" w:hAnsi="Century Gothic"/>
          <w:b/>
          <w:i/>
          <w:sz w:val="24"/>
          <w:szCs w:val="24"/>
          <w:lang w:eastAsia="ru-RU"/>
        </w:rPr>
        <w:t>.р</w:t>
      </w:r>
      <w:proofErr w:type="gramEnd"/>
      <w:r w:rsidR="008E5675" w:rsidRPr="006D6355">
        <w:rPr>
          <w:rFonts w:ascii="Century Gothic" w:eastAsia="Times New Roman" w:hAnsi="Century Gothic"/>
          <w:b/>
          <w:i/>
          <w:sz w:val="24"/>
          <w:szCs w:val="24"/>
          <w:lang w:eastAsia="ru-RU"/>
        </w:rPr>
        <w:t>уб.</w:t>
      </w:r>
      <w:r w:rsidR="008E5675"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, или </w:t>
      </w:r>
      <w:r w:rsidR="001C1D75">
        <w:rPr>
          <w:rFonts w:ascii="Century Gothic" w:eastAsia="Times New Roman" w:hAnsi="Century Gothic"/>
          <w:sz w:val="24"/>
          <w:szCs w:val="24"/>
          <w:lang w:eastAsia="ru-RU"/>
        </w:rPr>
        <w:t xml:space="preserve">97,34 </w:t>
      </w:r>
      <w:r w:rsidR="00B806DB">
        <w:rPr>
          <w:rFonts w:ascii="Century Gothic" w:eastAsia="Times New Roman" w:hAnsi="Century Gothic"/>
          <w:sz w:val="24"/>
          <w:szCs w:val="24"/>
          <w:lang w:eastAsia="ru-RU"/>
        </w:rPr>
        <w:t>%</w:t>
      </w:r>
      <w:r w:rsidR="008E5675"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от уточненного плана </w:t>
      </w:r>
      <w:r w:rsidR="00FC1277">
        <w:rPr>
          <w:rFonts w:ascii="Century Gothic" w:eastAsia="Times New Roman" w:hAnsi="Century Gothic"/>
          <w:sz w:val="24"/>
          <w:szCs w:val="24"/>
          <w:lang w:eastAsia="ru-RU"/>
        </w:rPr>
        <w:t>(в 20</w:t>
      </w:r>
      <w:r w:rsidR="001C1D75">
        <w:rPr>
          <w:rFonts w:ascii="Century Gothic" w:eastAsia="Times New Roman" w:hAnsi="Century Gothic"/>
          <w:sz w:val="24"/>
          <w:szCs w:val="24"/>
          <w:lang w:eastAsia="ru-RU"/>
        </w:rPr>
        <w:t>20</w:t>
      </w:r>
      <w:r w:rsidR="00FC1277">
        <w:rPr>
          <w:rFonts w:ascii="Century Gothic" w:eastAsia="Times New Roman" w:hAnsi="Century Gothic"/>
          <w:sz w:val="24"/>
          <w:szCs w:val="24"/>
          <w:lang w:eastAsia="ru-RU"/>
        </w:rPr>
        <w:t xml:space="preserve"> г. – </w:t>
      </w:r>
      <w:r w:rsidR="001C1D75">
        <w:rPr>
          <w:rFonts w:ascii="Century Gothic" w:eastAsia="Times New Roman" w:hAnsi="Century Gothic"/>
          <w:sz w:val="24"/>
          <w:szCs w:val="24"/>
          <w:lang w:eastAsia="ru-RU"/>
        </w:rPr>
        <w:t>91,81</w:t>
      </w:r>
      <w:r w:rsidR="003E10CB">
        <w:rPr>
          <w:rFonts w:ascii="Century Gothic" w:eastAsia="Times New Roman" w:hAnsi="Century Gothic"/>
          <w:sz w:val="24"/>
          <w:szCs w:val="24"/>
          <w:lang w:eastAsia="ru-RU"/>
        </w:rPr>
        <w:t>%</w:t>
      </w:r>
      <w:r w:rsidR="00FC1277">
        <w:rPr>
          <w:rFonts w:ascii="Century Gothic" w:eastAsia="Times New Roman" w:hAnsi="Century Gothic"/>
          <w:sz w:val="24"/>
          <w:szCs w:val="24"/>
          <w:lang w:eastAsia="ru-RU"/>
        </w:rPr>
        <w:t>).</w:t>
      </w:r>
    </w:p>
    <w:p w:rsidR="00FC1277" w:rsidRDefault="00FC1277" w:rsidP="00FF3DCB">
      <w:pPr>
        <w:pStyle w:val="a6"/>
        <w:tabs>
          <w:tab w:val="left" w:pos="-6096"/>
          <w:tab w:val="left" w:pos="0"/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</w:p>
    <w:p w:rsidR="008E5675" w:rsidRPr="006D6355" w:rsidRDefault="008E5675" w:rsidP="00FF3DCB">
      <w:pPr>
        <w:pStyle w:val="a6"/>
        <w:tabs>
          <w:tab w:val="left" w:pos="-6096"/>
          <w:tab w:val="left" w:pos="0"/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Общая сумма затрат на реализацию </w:t>
      </w:r>
      <w:r w:rsidR="005968BF" w:rsidRPr="00367DDC">
        <w:rPr>
          <w:rFonts w:ascii="Century Gothic" w:eastAsia="Times New Roman" w:hAnsi="Century Gothic"/>
          <w:sz w:val="24"/>
          <w:szCs w:val="24"/>
          <w:lang w:eastAsia="ru-RU"/>
        </w:rPr>
        <w:t>2</w:t>
      </w:r>
      <w:r w:rsidR="00BE5202">
        <w:rPr>
          <w:rFonts w:ascii="Century Gothic" w:eastAsia="Times New Roman" w:hAnsi="Century Gothic"/>
          <w:sz w:val="24"/>
          <w:szCs w:val="24"/>
          <w:lang w:eastAsia="ru-RU"/>
        </w:rPr>
        <w:t>3</w:t>
      </w:r>
      <w:r w:rsidRPr="00367DDC">
        <w:rPr>
          <w:rFonts w:ascii="Century Gothic" w:eastAsia="Times New Roman" w:hAnsi="Century Gothic"/>
          <w:sz w:val="24"/>
          <w:szCs w:val="24"/>
          <w:lang w:eastAsia="ru-RU"/>
        </w:rPr>
        <w:t xml:space="preserve"> программ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в 20</w:t>
      </w:r>
      <w:r w:rsidR="00BE5202">
        <w:rPr>
          <w:rFonts w:ascii="Century Gothic" w:eastAsia="Times New Roman" w:hAnsi="Century Gothic"/>
          <w:sz w:val="24"/>
          <w:szCs w:val="24"/>
          <w:lang w:eastAsia="ru-RU"/>
        </w:rPr>
        <w:t>21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году </w:t>
      </w:r>
      <w:r w:rsidRPr="00367DDC">
        <w:rPr>
          <w:rFonts w:ascii="Century Gothic" w:eastAsia="Times New Roman" w:hAnsi="Century Gothic"/>
          <w:sz w:val="24"/>
          <w:szCs w:val="24"/>
          <w:u w:val="single"/>
          <w:lang w:eastAsia="ru-RU"/>
        </w:rPr>
        <w:t>по данным департаментов-исполнителей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составила </w:t>
      </w:r>
      <w:r w:rsidR="006E3D2C">
        <w:rPr>
          <w:rFonts w:ascii="Century Gothic" w:eastAsia="Times New Roman" w:hAnsi="Century Gothic"/>
          <w:b/>
          <w:sz w:val="24"/>
          <w:szCs w:val="24"/>
          <w:lang w:eastAsia="ru-RU"/>
        </w:rPr>
        <w:t>6641,88</w:t>
      </w:r>
      <w:r w:rsidRPr="006D6355">
        <w:rPr>
          <w:rFonts w:ascii="Century Gothic" w:eastAsia="Times New Roman" w:hAnsi="Century Gothic"/>
          <w:b/>
          <w:sz w:val="24"/>
          <w:szCs w:val="24"/>
          <w:lang w:eastAsia="ru-RU"/>
        </w:rPr>
        <w:t xml:space="preserve"> млн</w:t>
      </w:r>
      <w:proofErr w:type="gramStart"/>
      <w:r w:rsidRPr="006D6355">
        <w:rPr>
          <w:rFonts w:ascii="Century Gothic" w:eastAsia="Times New Roman" w:hAnsi="Century Gothic"/>
          <w:b/>
          <w:sz w:val="24"/>
          <w:szCs w:val="24"/>
          <w:lang w:eastAsia="ru-RU"/>
        </w:rPr>
        <w:t>.р</w:t>
      </w:r>
      <w:proofErr w:type="gramEnd"/>
      <w:r w:rsidRPr="006D6355">
        <w:rPr>
          <w:rFonts w:ascii="Century Gothic" w:eastAsia="Times New Roman" w:hAnsi="Century Gothic"/>
          <w:b/>
          <w:sz w:val="24"/>
          <w:szCs w:val="24"/>
          <w:lang w:eastAsia="ru-RU"/>
        </w:rPr>
        <w:t>уб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., в т.ч. </w:t>
      </w:r>
    </w:p>
    <w:p w:rsidR="008E5675" w:rsidRPr="006D6355" w:rsidRDefault="008E5675" w:rsidP="00FF3DCB">
      <w:pPr>
        <w:pStyle w:val="a6"/>
        <w:tabs>
          <w:tab w:val="left" w:pos="-6096"/>
          <w:tab w:val="left" w:pos="0"/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средства городского бюджета – </w:t>
      </w:r>
      <w:r w:rsidR="00BE5202">
        <w:rPr>
          <w:rFonts w:ascii="Century Gothic" w:eastAsia="Times New Roman" w:hAnsi="Century Gothic"/>
          <w:sz w:val="24"/>
          <w:szCs w:val="24"/>
          <w:lang w:eastAsia="ru-RU"/>
        </w:rPr>
        <w:t>1793,23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млн</w:t>
      </w:r>
      <w:proofErr w:type="gramStart"/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>.р</w:t>
      </w:r>
      <w:proofErr w:type="gramEnd"/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уб., </w:t>
      </w:r>
    </w:p>
    <w:p w:rsidR="008E5675" w:rsidRPr="006D6355" w:rsidRDefault="008E5675" w:rsidP="00FF3DCB">
      <w:pPr>
        <w:pStyle w:val="a6"/>
        <w:tabs>
          <w:tab w:val="left" w:pos="-6096"/>
          <w:tab w:val="left" w:pos="0"/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средства областного бюджета – </w:t>
      </w:r>
      <w:r w:rsidR="006E3D2C">
        <w:rPr>
          <w:rFonts w:ascii="Century Gothic" w:eastAsia="Times New Roman" w:hAnsi="Century Gothic"/>
          <w:sz w:val="24"/>
          <w:szCs w:val="24"/>
          <w:lang w:eastAsia="ru-RU"/>
        </w:rPr>
        <w:t>3198,55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млн</w:t>
      </w:r>
      <w:proofErr w:type="gramStart"/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>.р</w:t>
      </w:r>
      <w:proofErr w:type="gramEnd"/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уб., </w:t>
      </w:r>
    </w:p>
    <w:p w:rsidR="008E5675" w:rsidRPr="006D6355" w:rsidRDefault="008E5675" w:rsidP="00FF3DCB">
      <w:pPr>
        <w:pStyle w:val="a6"/>
        <w:tabs>
          <w:tab w:val="left" w:pos="-6096"/>
          <w:tab w:val="left" w:pos="0"/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средства федерального бюджета – </w:t>
      </w:r>
      <w:r w:rsidR="00BE5202">
        <w:rPr>
          <w:rFonts w:ascii="Century Gothic" w:eastAsia="Times New Roman" w:hAnsi="Century Gothic"/>
          <w:sz w:val="24"/>
          <w:szCs w:val="24"/>
          <w:lang w:eastAsia="ru-RU"/>
        </w:rPr>
        <w:t>1559,67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млн</w:t>
      </w:r>
      <w:proofErr w:type="gramStart"/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>.р</w:t>
      </w:r>
      <w:proofErr w:type="gramEnd"/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уб., </w:t>
      </w:r>
    </w:p>
    <w:p w:rsidR="008E5675" w:rsidRDefault="008E5675" w:rsidP="00FF3DCB">
      <w:pPr>
        <w:pStyle w:val="a6"/>
        <w:tabs>
          <w:tab w:val="left" w:pos="-6096"/>
          <w:tab w:val="left" w:pos="0"/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другие источники </w:t>
      </w:r>
      <w:r w:rsidR="00BE5202">
        <w:rPr>
          <w:rFonts w:ascii="Century Gothic" w:eastAsia="Times New Roman" w:hAnsi="Century Gothic"/>
          <w:sz w:val="24"/>
          <w:szCs w:val="24"/>
          <w:lang w:eastAsia="ru-RU"/>
        </w:rPr>
        <w:t>90,43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млн.</w:t>
      </w:r>
      <w:r w:rsidR="00695E53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руб. </w:t>
      </w:r>
    </w:p>
    <w:p w:rsidR="006D44B7" w:rsidRDefault="006D44B7" w:rsidP="00FF3DCB">
      <w:pPr>
        <w:pStyle w:val="a6"/>
        <w:tabs>
          <w:tab w:val="left" w:pos="-6096"/>
          <w:tab w:val="left" w:pos="0"/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</w:p>
    <w:p w:rsidR="00C71BAA" w:rsidRDefault="006D44B7" w:rsidP="00D57EB2">
      <w:pPr>
        <w:pStyle w:val="a6"/>
        <w:tabs>
          <w:tab w:val="left" w:pos="-6096"/>
          <w:tab w:val="left" w:pos="0"/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center"/>
        <w:rPr>
          <w:rFonts w:ascii="Century Gothic" w:eastAsia="Times New Roman" w:hAnsi="Century Gothic"/>
          <w:sz w:val="24"/>
          <w:szCs w:val="24"/>
          <w:lang w:eastAsia="ru-RU"/>
        </w:rPr>
      </w:pPr>
      <w:r w:rsidRPr="006D44B7">
        <w:rPr>
          <w:rFonts w:ascii="Century Gothic" w:eastAsia="Times New Roman" w:hAnsi="Century Gothic"/>
          <w:noProof/>
          <w:sz w:val="24"/>
          <w:szCs w:val="24"/>
          <w:lang w:eastAsia="ru-RU"/>
        </w:rPr>
        <w:drawing>
          <wp:inline distT="0" distB="0" distL="0" distR="0">
            <wp:extent cx="4572000" cy="2238374"/>
            <wp:effectExtent l="19050" t="0" r="0" b="0"/>
            <wp:docPr id="3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AE7F92" w:rsidRDefault="008E5675" w:rsidP="008E5675">
      <w:pPr>
        <w:pStyle w:val="a6"/>
        <w:tabs>
          <w:tab w:val="left" w:pos="-6096"/>
          <w:tab w:val="left" w:pos="0"/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lastRenderedPageBreak/>
        <w:t>Детальный отчет о выполненных мероприятиях, их количественных характеристиках, стоимости и источник</w:t>
      </w:r>
      <w:r w:rsidR="00FF3DCB">
        <w:rPr>
          <w:rFonts w:ascii="Century Gothic" w:eastAsia="Times New Roman" w:hAnsi="Century Gothic"/>
          <w:sz w:val="24"/>
          <w:szCs w:val="24"/>
          <w:lang w:eastAsia="ru-RU"/>
        </w:rPr>
        <w:t>ах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финансирования</w:t>
      </w:r>
      <w:r w:rsidR="00FF3DCB">
        <w:rPr>
          <w:rFonts w:ascii="Century Gothic" w:eastAsia="Times New Roman" w:hAnsi="Century Gothic"/>
          <w:sz w:val="24"/>
          <w:szCs w:val="24"/>
          <w:lang w:eastAsia="ru-RU"/>
        </w:rPr>
        <w:t xml:space="preserve"> всех МП 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приведен в Приложении </w:t>
      </w:r>
      <w:r w:rsidR="00B71B80">
        <w:rPr>
          <w:rFonts w:ascii="Century Gothic" w:eastAsia="Times New Roman" w:hAnsi="Century Gothic"/>
          <w:sz w:val="24"/>
          <w:szCs w:val="24"/>
          <w:lang w:eastAsia="ru-RU"/>
        </w:rPr>
        <w:t>2</w:t>
      </w:r>
      <w:r w:rsidR="006362BC">
        <w:rPr>
          <w:rFonts w:ascii="Century Gothic" w:eastAsia="Times New Roman" w:hAnsi="Century Gothic"/>
          <w:sz w:val="24"/>
          <w:szCs w:val="24"/>
          <w:lang w:eastAsia="ru-RU"/>
        </w:rPr>
        <w:t>.</w:t>
      </w:r>
    </w:p>
    <w:p w:rsidR="00FB3AED" w:rsidRPr="00FB3AED" w:rsidRDefault="005968BF" w:rsidP="005968BF">
      <w:pPr>
        <w:spacing w:after="0" w:line="240" w:lineRule="auto"/>
        <w:ind w:right="-1"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proofErr w:type="gramStart"/>
      <w:r w:rsidRPr="006362BC">
        <w:rPr>
          <w:rFonts w:ascii="Century Gothic" w:eastAsia="Times New Roman" w:hAnsi="Century Gothic"/>
          <w:sz w:val="24"/>
          <w:szCs w:val="24"/>
          <w:lang w:eastAsia="ru-RU"/>
        </w:rPr>
        <w:t>В 20</w:t>
      </w:r>
      <w:r w:rsidR="00B71B80">
        <w:rPr>
          <w:rFonts w:ascii="Century Gothic" w:eastAsia="Times New Roman" w:hAnsi="Century Gothic"/>
          <w:sz w:val="24"/>
          <w:szCs w:val="24"/>
          <w:lang w:eastAsia="ru-RU"/>
        </w:rPr>
        <w:t>21</w:t>
      </w:r>
      <w:r w:rsidR="00761761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="006362BC">
        <w:rPr>
          <w:rFonts w:ascii="Century Gothic" w:eastAsia="Times New Roman" w:hAnsi="Century Gothic"/>
          <w:sz w:val="24"/>
          <w:szCs w:val="24"/>
          <w:lang w:eastAsia="ru-RU"/>
        </w:rPr>
        <w:t>году</w:t>
      </w:r>
      <w:r w:rsidRPr="006362BC">
        <w:rPr>
          <w:rFonts w:ascii="Century Gothic" w:eastAsia="Times New Roman" w:hAnsi="Century Gothic"/>
          <w:sz w:val="24"/>
          <w:szCs w:val="24"/>
          <w:lang w:eastAsia="ru-RU"/>
        </w:rPr>
        <w:t xml:space="preserve"> в рамках </w:t>
      </w:r>
      <w:r w:rsidR="00BA09F8" w:rsidRPr="00BA09F8">
        <w:rPr>
          <w:rFonts w:ascii="Century Gothic" w:eastAsia="Times New Roman" w:hAnsi="Century Gothic"/>
          <w:sz w:val="24"/>
          <w:szCs w:val="24"/>
          <w:lang w:eastAsia="ru-RU"/>
        </w:rPr>
        <w:t>14</w:t>
      </w:r>
      <w:r w:rsidRPr="006362BC">
        <w:rPr>
          <w:rFonts w:ascii="Century Gothic" w:eastAsia="Times New Roman" w:hAnsi="Century Gothic"/>
          <w:sz w:val="24"/>
          <w:szCs w:val="24"/>
          <w:lang w:eastAsia="ru-RU"/>
        </w:rPr>
        <w:t xml:space="preserve"> программ, осуществлялось</w:t>
      </w:r>
      <w:r w:rsidR="00761761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proofErr w:type="spellStart"/>
      <w:r w:rsidR="00761761">
        <w:rPr>
          <w:rFonts w:ascii="Century Gothic" w:eastAsia="Times New Roman" w:hAnsi="Century Gothic"/>
          <w:sz w:val="24"/>
          <w:szCs w:val="24"/>
          <w:lang w:eastAsia="ru-RU"/>
        </w:rPr>
        <w:t>софинансирование</w:t>
      </w:r>
      <w:proofErr w:type="spellEnd"/>
      <w:r w:rsidR="00761761">
        <w:rPr>
          <w:rFonts w:ascii="Century Gothic" w:eastAsia="Times New Roman" w:hAnsi="Century Gothic"/>
          <w:sz w:val="24"/>
          <w:szCs w:val="24"/>
          <w:lang w:eastAsia="ru-RU"/>
        </w:rPr>
        <w:t xml:space="preserve"> из областного, </w:t>
      </w:r>
      <w:r w:rsidRPr="006362BC">
        <w:rPr>
          <w:rFonts w:ascii="Century Gothic" w:eastAsia="Times New Roman" w:hAnsi="Century Gothic"/>
          <w:sz w:val="24"/>
          <w:szCs w:val="24"/>
          <w:lang w:eastAsia="ru-RU"/>
        </w:rPr>
        <w:t>федерального бюджетов</w:t>
      </w:r>
      <w:r w:rsidR="00761761">
        <w:rPr>
          <w:rFonts w:ascii="Century Gothic" w:eastAsia="Times New Roman" w:hAnsi="Century Gothic"/>
          <w:sz w:val="24"/>
          <w:szCs w:val="24"/>
          <w:lang w:eastAsia="ru-RU"/>
        </w:rPr>
        <w:t xml:space="preserve">, а также внебюджетных источников </w:t>
      </w:r>
      <w:r w:rsidR="0077714B" w:rsidRPr="006362BC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Pr="006362BC">
        <w:rPr>
          <w:rFonts w:ascii="Century Gothic" w:eastAsia="Times New Roman" w:hAnsi="Century Gothic"/>
          <w:sz w:val="24"/>
          <w:szCs w:val="24"/>
          <w:lang w:eastAsia="ru-RU"/>
        </w:rPr>
        <w:t xml:space="preserve"> (таблица 1).</w:t>
      </w:r>
      <w:bookmarkStart w:id="0" w:name="_GoBack"/>
      <w:bookmarkEnd w:id="0"/>
      <w:proofErr w:type="gramEnd"/>
    </w:p>
    <w:p w:rsidR="008A79DD" w:rsidRDefault="005968BF" w:rsidP="005968BF">
      <w:pPr>
        <w:spacing w:after="0" w:line="240" w:lineRule="auto"/>
        <w:ind w:right="-1"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Pr="006D6355">
        <w:rPr>
          <w:rFonts w:ascii="Century Gothic" w:eastAsia="Times New Roman" w:hAnsi="Century Gothic"/>
          <w:b/>
          <w:i/>
          <w:sz w:val="24"/>
          <w:szCs w:val="24"/>
          <w:lang w:eastAsia="ru-RU"/>
        </w:rPr>
        <w:t>Общая сумма</w:t>
      </w:r>
      <w:r w:rsidR="00FB3AED" w:rsidRPr="00FB3AED">
        <w:rPr>
          <w:rFonts w:ascii="Century Gothic" w:eastAsia="Times New Roman" w:hAnsi="Century Gothic"/>
          <w:b/>
          <w:i/>
          <w:sz w:val="24"/>
          <w:szCs w:val="24"/>
          <w:lang w:eastAsia="ru-RU"/>
        </w:rPr>
        <w:t xml:space="preserve"> </w:t>
      </w:r>
      <w:r w:rsidR="00FB3AED">
        <w:rPr>
          <w:rFonts w:ascii="Century Gothic" w:eastAsia="Times New Roman" w:hAnsi="Century Gothic"/>
          <w:b/>
          <w:i/>
          <w:sz w:val="24"/>
          <w:szCs w:val="24"/>
          <w:lang w:eastAsia="ru-RU"/>
        </w:rPr>
        <w:t xml:space="preserve">по всем программам в целом по привлечению </w:t>
      </w:r>
      <w:r w:rsidRPr="006D6355">
        <w:rPr>
          <w:rFonts w:ascii="Century Gothic" w:eastAsia="Times New Roman" w:hAnsi="Century Gothic"/>
          <w:b/>
          <w:i/>
          <w:sz w:val="24"/>
          <w:szCs w:val="24"/>
          <w:lang w:eastAsia="ru-RU"/>
        </w:rPr>
        <w:t xml:space="preserve"> средств из вышестоящих бюджетов и внебюджетных источников составила </w:t>
      </w:r>
      <w:r w:rsidR="008F19C0">
        <w:rPr>
          <w:rFonts w:ascii="Century Gothic" w:eastAsia="Times New Roman" w:hAnsi="Century Gothic"/>
          <w:b/>
          <w:i/>
          <w:color w:val="000000"/>
          <w:sz w:val="24"/>
          <w:szCs w:val="24"/>
          <w:lang w:eastAsia="ru-RU"/>
        </w:rPr>
        <w:t>501</w:t>
      </w:r>
      <w:r w:rsidR="006D44B7">
        <w:rPr>
          <w:rFonts w:ascii="Century Gothic" w:eastAsia="Times New Roman" w:hAnsi="Century Gothic"/>
          <w:b/>
          <w:i/>
          <w:color w:val="000000"/>
          <w:sz w:val="24"/>
          <w:szCs w:val="24"/>
          <w:lang w:eastAsia="ru-RU"/>
        </w:rPr>
        <w:t>9</w:t>
      </w:r>
      <w:r w:rsidR="008F19C0">
        <w:rPr>
          <w:rFonts w:ascii="Century Gothic" w:eastAsia="Times New Roman" w:hAnsi="Century Gothic"/>
          <w:b/>
          <w:i/>
          <w:color w:val="000000"/>
          <w:sz w:val="24"/>
          <w:szCs w:val="24"/>
          <w:lang w:eastAsia="ru-RU"/>
        </w:rPr>
        <w:t>,</w:t>
      </w:r>
      <w:r w:rsidR="006D44B7">
        <w:rPr>
          <w:rFonts w:ascii="Century Gothic" w:eastAsia="Times New Roman" w:hAnsi="Century Gothic"/>
          <w:b/>
          <w:i/>
          <w:color w:val="000000"/>
          <w:sz w:val="24"/>
          <w:szCs w:val="24"/>
          <w:lang w:eastAsia="ru-RU"/>
        </w:rPr>
        <w:t>09</w:t>
      </w:r>
      <w:r w:rsidRPr="00BE0E54">
        <w:rPr>
          <w:rFonts w:ascii="Century Gothic" w:eastAsia="Times New Roman" w:hAnsi="Century Gothic"/>
          <w:b/>
          <w:i/>
          <w:color w:val="000000"/>
          <w:sz w:val="24"/>
          <w:szCs w:val="24"/>
          <w:lang w:eastAsia="ru-RU"/>
        </w:rPr>
        <w:t xml:space="preserve"> млн. </w:t>
      </w:r>
      <w:r w:rsidRPr="00761761">
        <w:rPr>
          <w:rFonts w:ascii="Century Gothic" w:eastAsia="Times New Roman" w:hAnsi="Century Gothic"/>
          <w:b/>
          <w:i/>
          <w:sz w:val="24"/>
          <w:szCs w:val="24"/>
          <w:lang w:eastAsia="ru-RU"/>
        </w:rPr>
        <w:t>руб</w:t>
      </w:r>
      <w:r w:rsidR="00761761" w:rsidRPr="00761761">
        <w:rPr>
          <w:rFonts w:ascii="Century Gothic" w:eastAsia="Times New Roman" w:hAnsi="Century Gothic"/>
          <w:sz w:val="24"/>
          <w:szCs w:val="24"/>
          <w:lang w:eastAsia="ru-RU"/>
        </w:rPr>
        <w:t>.</w:t>
      </w:r>
      <w:r w:rsidR="00761761">
        <w:rPr>
          <w:rFonts w:ascii="Century Gothic" w:eastAsia="Times New Roman" w:hAnsi="Century Gothic"/>
          <w:color w:val="FF0000"/>
          <w:sz w:val="24"/>
          <w:szCs w:val="24"/>
          <w:lang w:eastAsia="ru-RU"/>
        </w:rPr>
        <w:t xml:space="preserve"> </w:t>
      </w:r>
    </w:p>
    <w:tbl>
      <w:tblPr>
        <w:tblW w:w="10182" w:type="dxa"/>
        <w:tblInd w:w="89" w:type="dxa"/>
        <w:tblLayout w:type="fixed"/>
        <w:tblLook w:val="04A0"/>
      </w:tblPr>
      <w:tblGrid>
        <w:gridCol w:w="586"/>
        <w:gridCol w:w="134"/>
        <w:gridCol w:w="4969"/>
        <w:gridCol w:w="142"/>
        <w:gridCol w:w="992"/>
        <w:gridCol w:w="142"/>
        <w:gridCol w:w="992"/>
        <w:gridCol w:w="1134"/>
        <w:gridCol w:w="1091"/>
      </w:tblGrid>
      <w:tr w:rsidR="00B14C92" w:rsidRPr="00B14C92" w:rsidTr="00F973E5">
        <w:trPr>
          <w:trHeight w:val="20"/>
        </w:trPr>
        <w:tc>
          <w:tcPr>
            <w:tcW w:w="72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C92" w:rsidRPr="00B14C92" w:rsidRDefault="00B14C92" w:rsidP="00B14C92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ru-RU"/>
              </w:rPr>
            </w:pPr>
            <w:bookmarkStart w:id="1" w:name="RANGE!A1:F19"/>
            <w:bookmarkEnd w:id="1"/>
          </w:p>
        </w:tc>
        <w:tc>
          <w:tcPr>
            <w:tcW w:w="5111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C92" w:rsidRPr="00B14C92" w:rsidRDefault="00B14C92" w:rsidP="00B14C92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C92" w:rsidRPr="00B14C92" w:rsidRDefault="00B14C92" w:rsidP="00B14C92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C92" w:rsidRPr="00B14C92" w:rsidRDefault="00B14C92" w:rsidP="00B14C92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ru-RU"/>
              </w:rPr>
            </w:pPr>
          </w:p>
        </w:tc>
        <w:tc>
          <w:tcPr>
            <w:tcW w:w="222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C92" w:rsidRPr="00B14C92" w:rsidRDefault="00B14C92" w:rsidP="00B14C92">
            <w:pPr>
              <w:spacing w:after="0" w:line="240" w:lineRule="auto"/>
              <w:ind w:hanging="108"/>
              <w:jc w:val="right"/>
              <w:rPr>
                <w:rFonts w:ascii="Century Gothic" w:eastAsia="Times New Roman" w:hAnsi="Century Gothic" w:cs="Calibri"/>
                <w:color w:val="000000"/>
                <w:lang w:eastAsia="ru-RU"/>
              </w:rPr>
            </w:pPr>
            <w:r w:rsidRPr="00B14C92">
              <w:rPr>
                <w:rFonts w:ascii="Century Gothic" w:eastAsia="Times New Roman" w:hAnsi="Century Gothic" w:cs="Calibri"/>
                <w:color w:val="000000"/>
                <w:lang w:eastAsia="ru-RU"/>
              </w:rPr>
              <w:t>Таблица 1</w:t>
            </w:r>
          </w:p>
        </w:tc>
      </w:tr>
      <w:tr w:rsidR="00B14C92" w:rsidRPr="00B14C92" w:rsidTr="00F973E5">
        <w:trPr>
          <w:trHeight w:val="20"/>
        </w:trPr>
        <w:tc>
          <w:tcPr>
            <w:tcW w:w="10182" w:type="dxa"/>
            <w:gridSpan w:val="9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B14C92" w:rsidRPr="00B14C92" w:rsidRDefault="00B14C92" w:rsidP="008E3696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14C92">
              <w:rPr>
                <w:rFonts w:ascii="Century Gothic" w:eastAsia="Times New Roman" w:hAnsi="Century Gothic" w:cs="Calibri"/>
                <w:b/>
                <w:bCs/>
                <w:color w:val="000000"/>
                <w:sz w:val="26"/>
                <w:szCs w:val="26"/>
                <w:lang w:eastAsia="ru-RU"/>
              </w:rPr>
              <w:t xml:space="preserve">Перечень программ, </w:t>
            </w:r>
            <w:r w:rsidR="00311ABB">
              <w:rPr>
                <w:rFonts w:ascii="Century Gothic" w:eastAsia="Times New Roman" w:hAnsi="Century Gothic" w:cs="Calibri"/>
                <w:b/>
                <w:bCs/>
                <w:color w:val="000000"/>
                <w:sz w:val="26"/>
                <w:szCs w:val="26"/>
                <w:lang w:eastAsia="ru-RU"/>
              </w:rPr>
              <w:t>реализация</w:t>
            </w:r>
            <w:r w:rsidRPr="00B14C92">
              <w:rPr>
                <w:rFonts w:ascii="Century Gothic" w:eastAsia="Times New Roman" w:hAnsi="Century Gothic" w:cs="Calibri"/>
                <w:b/>
                <w:bCs/>
                <w:color w:val="000000"/>
                <w:sz w:val="26"/>
                <w:szCs w:val="26"/>
                <w:lang w:eastAsia="ru-RU"/>
              </w:rPr>
              <w:t xml:space="preserve"> которых осуществля</w:t>
            </w:r>
            <w:r w:rsidR="00367DDC">
              <w:rPr>
                <w:rFonts w:ascii="Century Gothic" w:eastAsia="Times New Roman" w:hAnsi="Century Gothic" w:cs="Calibri"/>
                <w:b/>
                <w:bCs/>
                <w:color w:val="000000"/>
                <w:sz w:val="26"/>
                <w:szCs w:val="26"/>
                <w:lang w:eastAsia="ru-RU"/>
              </w:rPr>
              <w:t>л</w:t>
            </w:r>
            <w:r w:rsidR="00311ABB">
              <w:rPr>
                <w:rFonts w:ascii="Century Gothic" w:eastAsia="Times New Roman" w:hAnsi="Century Gothic" w:cs="Calibri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="00367DDC">
              <w:rPr>
                <w:rFonts w:ascii="Century Gothic" w:eastAsia="Times New Roman" w:hAnsi="Century Gothic" w:cs="Calibri"/>
                <w:b/>
                <w:bCs/>
                <w:color w:val="000000"/>
                <w:sz w:val="26"/>
                <w:szCs w:val="26"/>
                <w:lang w:eastAsia="ru-RU"/>
              </w:rPr>
              <w:t>сь</w:t>
            </w:r>
            <w:r w:rsidRPr="00B14C92">
              <w:rPr>
                <w:rFonts w:ascii="Century Gothic" w:eastAsia="Times New Roman" w:hAnsi="Century Gothic" w:cs="Calibri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367DDC">
              <w:rPr>
                <w:rFonts w:ascii="Century Gothic" w:eastAsia="Times New Roman" w:hAnsi="Century Gothic" w:cs="Calibri"/>
                <w:b/>
                <w:bCs/>
                <w:color w:val="000000"/>
                <w:sz w:val="26"/>
                <w:szCs w:val="26"/>
                <w:lang w:eastAsia="ru-RU"/>
              </w:rPr>
              <w:t>при</w:t>
            </w:r>
            <w:r w:rsidRPr="00B14C92">
              <w:rPr>
                <w:rFonts w:ascii="Century Gothic" w:eastAsia="Times New Roman" w:hAnsi="Century Gothic" w:cs="Calibri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B14C92">
              <w:rPr>
                <w:rFonts w:ascii="Century Gothic" w:eastAsia="Times New Roman" w:hAnsi="Century Gothic" w:cs="Calibri"/>
                <w:b/>
                <w:bCs/>
                <w:color w:val="000000"/>
                <w:sz w:val="26"/>
                <w:szCs w:val="26"/>
                <w:lang w:eastAsia="ru-RU"/>
              </w:rPr>
              <w:t>софинансировани</w:t>
            </w:r>
            <w:r w:rsidR="00367DDC">
              <w:rPr>
                <w:rFonts w:ascii="Century Gothic" w:eastAsia="Times New Roman" w:hAnsi="Century Gothic" w:cs="Calibri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proofErr w:type="spellEnd"/>
            <w:r w:rsidRPr="00B14C92">
              <w:rPr>
                <w:rFonts w:ascii="Century Gothic" w:eastAsia="Times New Roman" w:hAnsi="Century Gothic" w:cs="Calibri"/>
                <w:b/>
                <w:bCs/>
                <w:color w:val="000000"/>
                <w:sz w:val="26"/>
                <w:szCs w:val="26"/>
                <w:lang w:eastAsia="ru-RU"/>
              </w:rPr>
              <w:t xml:space="preserve"> средств вышестоящих бюджетов</w:t>
            </w:r>
            <w:r w:rsidR="00367DDC">
              <w:rPr>
                <w:rFonts w:ascii="Century Gothic" w:eastAsia="Times New Roman" w:hAnsi="Century Gothic" w:cs="Calibri"/>
                <w:b/>
                <w:bCs/>
                <w:color w:val="000000"/>
                <w:sz w:val="26"/>
                <w:szCs w:val="26"/>
                <w:lang w:eastAsia="ru-RU"/>
              </w:rPr>
              <w:t xml:space="preserve"> и других источников </w:t>
            </w:r>
            <w:r w:rsidRPr="00B14C92">
              <w:rPr>
                <w:rFonts w:ascii="Century Gothic" w:eastAsia="Times New Roman" w:hAnsi="Century Gothic" w:cs="Calibri"/>
                <w:b/>
                <w:bCs/>
                <w:color w:val="000000"/>
                <w:sz w:val="26"/>
                <w:szCs w:val="26"/>
                <w:lang w:eastAsia="ru-RU"/>
              </w:rPr>
              <w:t>(по данным департаментов</w:t>
            </w:r>
            <w:r w:rsidR="00367DDC">
              <w:rPr>
                <w:rFonts w:ascii="Century Gothic" w:eastAsia="Times New Roman" w:hAnsi="Century Gothic" w:cs="Calibri"/>
                <w:b/>
                <w:bCs/>
                <w:color w:val="000000"/>
                <w:sz w:val="26"/>
                <w:szCs w:val="26"/>
                <w:lang w:eastAsia="ru-RU"/>
              </w:rPr>
              <w:t>-исполнителей</w:t>
            </w:r>
            <w:r w:rsidRPr="00B14C92">
              <w:rPr>
                <w:rFonts w:ascii="Century Gothic" w:eastAsia="Times New Roman" w:hAnsi="Century Gothic" w:cs="Calibri"/>
                <w:b/>
                <w:bCs/>
                <w:color w:val="000000"/>
                <w:sz w:val="26"/>
                <w:szCs w:val="26"/>
                <w:lang w:eastAsia="ru-RU"/>
              </w:rPr>
              <w:t>)</w:t>
            </w:r>
            <w:r w:rsidR="00311ABB">
              <w:rPr>
                <w:rFonts w:ascii="Century Gothic" w:eastAsia="Times New Roman" w:hAnsi="Century Gothic" w:cs="Calibri"/>
                <w:b/>
                <w:bCs/>
                <w:color w:val="000000"/>
                <w:sz w:val="26"/>
                <w:szCs w:val="26"/>
                <w:lang w:eastAsia="ru-RU"/>
              </w:rPr>
              <w:t>, млн</w:t>
            </w:r>
            <w:proofErr w:type="gramStart"/>
            <w:r w:rsidR="00311ABB">
              <w:rPr>
                <w:rFonts w:ascii="Century Gothic" w:eastAsia="Times New Roman" w:hAnsi="Century Gothic" w:cs="Calibri"/>
                <w:b/>
                <w:bCs/>
                <w:color w:val="000000"/>
                <w:sz w:val="26"/>
                <w:szCs w:val="26"/>
                <w:lang w:eastAsia="ru-RU"/>
              </w:rPr>
              <w:t>.р</w:t>
            </w:r>
            <w:proofErr w:type="gramEnd"/>
            <w:r w:rsidR="00311ABB">
              <w:rPr>
                <w:rFonts w:ascii="Century Gothic" w:eastAsia="Times New Roman" w:hAnsi="Century Gothic" w:cs="Calibri"/>
                <w:b/>
                <w:bCs/>
                <w:color w:val="000000"/>
                <w:sz w:val="26"/>
                <w:szCs w:val="26"/>
                <w:lang w:eastAsia="ru-RU"/>
              </w:rPr>
              <w:t>уб.</w:t>
            </w:r>
          </w:p>
        </w:tc>
      </w:tr>
      <w:tr w:rsidR="00B14C92" w:rsidRPr="00B14C92" w:rsidTr="00CD67A3">
        <w:trPr>
          <w:trHeight w:val="20"/>
        </w:trPr>
        <w:tc>
          <w:tcPr>
            <w:tcW w:w="5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B14C92" w:rsidRDefault="00B14C92" w:rsidP="00E176FF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8"/>
                <w:szCs w:val="28"/>
                <w:lang w:eastAsia="ru-RU"/>
              </w:rPr>
            </w:pPr>
            <w:r w:rsidRPr="00B14C92">
              <w:rPr>
                <w:rFonts w:ascii="Century Gothic" w:eastAsia="Times New Roman" w:hAnsi="Century Gothic" w:cs="Calibri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B14C92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B14C92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B14C92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510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B14C92" w:rsidRDefault="00B14C92" w:rsidP="00B71B8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8"/>
                <w:szCs w:val="28"/>
                <w:lang w:eastAsia="ru-RU"/>
              </w:rPr>
            </w:pPr>
            <w:r w:rsidRPr="00B14C92">
              <w:rPr>
                <w:rFonts w:ascii="Century Gothic" w:eastAsia="Times New Roman" w:hAnsi="Century Gothic" w:cs="Calibri"/>
                <w:color w:val="000000"/>
                <w:sz w:val="28"/>
                <w:szCs w:val="28"/>
                <w:lang w:eastAsia="ru-RU"/>
              </w:rPr>
              <w:t xml:space="preserve">Наименование </w:t>
            </w:r>
            <w:r w:rsidR="002406F0">
              <w:rPr>
                <w:rFonts w:ascii="Century Gothic" w:eastAsia="Times New Roman" w:hAnsi="Century Gothic" w:cs="Calibri"/>
                <w:color w:val="000000"/>
                <w:sz w:val="28"/>
                <w:szCs w:val="28"/>
                <w:lang w:eastAsia="ru-RU"/>
              </w:rPr>
              <w:t>М</w:t>
            </w:r>
            <w:r w:rsidRPr="00B14C92">
              <w:rPr>
                <w:rFonts w:ascii="Century Gothic" w:eastAsia="Times New Roman" w:hAnsi="Century Gothic" w:cs="Calibri"/>
                <w:color w:val="000000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4493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2BC" w:rsidRDefault="00B14C92" w:rsidP="0075344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8"/>
                <w:szCs w:val="28"/>
                <w:lang w:eastAsia="ru-RU"/>
              </w:rPr>
            </w:pPr>
            <w:r w:rsidRPr="00B14C92">
              <w:rPr>
                <w:rFonts w:ascii="Century Gothic" w:eastAsia="Times New Roman" w:hAnsi="Century Gothic" w:cs="Calibri"/>
                <w:color w:val="000000"/>
                <w:sz w:val="28"/>
                <w:szCs w:val="28"/>
                <w:lang w:eastAsia="ru-RU"/>
              </w:rPr>
              <w:t>Поступление средств</w:t>
            </w:r>
          </w:p>
          <w:p w:rsidR="00B14C92" w:rsidRPr="00B14C92" w:rsidRDefault="00B71B80" w:rsidP="0076176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8"/>
                <w:szCs w:val="28"/>
                <w:lang w:eastAsia="ru-RU"/>
              </w:rPr>
              <w:t xml:space="preserve"> в 2021</w:t>
            </w:r>
            <w:r w:rsidR="006362BC">
              <w:rPr>
                <w:rFonts w:ascii="Century Gothic" w:eastAsia="Times New Roman" w:hAnsi="Century Gothic" w:cs="Calibri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14C92" w:rsidRPr="00B14C92">
              <w:rPr>
                <w:rFonts w:ascii="Century Gothic" w:eastAsia="Times New Roman" w:hAnsi="Century Gothic" w:cs="Calibri"/>
                <w:color w:val="000000"/>
                <w:sz w:val="28"/>
                <w:szCs w:val="28"/>
                <w:lang w:eastAsia="ru-RU"/>
              </w:rPr>
              <w:t>г.</w:t>
            </w:r>
            <w:r w:rsidR="00697AF1">
              <w:rPr>
                <w:rFonts w:ascii="Century Gothic" w:eastAsia="Times New Roman" w:hAnsi="Century Gothic" w:cs="Calibri"/>
                <w:color w:val="000000"/>
                <w:sz w:val="28"/>
                <w:szCs w:val="28"/>
                <w:lang w:eastAsia="ru-RU"/>
              </w:rPr>
              <w:t>, млн. руб.</w:t>
            </w:r>
          </w:p>
        </w:tc>
      </w:tr>
      <w:tr w:rsidR="00B14C92" w:rsidRPr="00B14C92" w:rsidTr="00CD67A3">
        <w:trPr>
          <w:trHeight w:val="20"/>
        </w:trPr>
        <w:tc>
          <w:tcPr>
            <w:tcW w:w="5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14C92" w:rsidRPr="00B14C92" w:rsidRDefault="00B14C92" w:rsidP="00B14C92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14C92" w:rsidRPr="00B14C92" w:rsidRDefault="00B14C92" w:rsidP="00B14C92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311ABB" w:rsidRDefault="00B14C92" w:rsidP="00E176FF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 w:rsidRPr="00311ABB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ГБ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311ABB" w:rsidRDefault="00AE7F92" w:rsidP="00E176FF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311ABB" w:rsidRDefault="00AE7F92" w:rsidP="00E176FF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4C92" w:rsidRPr="00311ABB" w:rsidRDefault="00B14C92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 w:rsidRPr="00311ABB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 xml:space="preserve">Др. </w:t>
            </w:r>
          </w:p>
          <w:p w:rsidR="00B14C92" w:rsidRPr="00311ABB" w:rsidRDefault="00B14C92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1ABB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ср-ва</w:t>
            </w:r>
            <w:proofErr w:type="spellEnd"/>
          </w:p>
        </w:tc>
      </w:tr>
      <w:tr w:rsidR="00B14C92" w:rsidRPr="00983B0E" w:rsidTr="00CD67A3">
        <w:trPr>
          <w:trHeight w:val="20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CD67A3" w:rsidRDefault="00B14C92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 w:rsidRPr="00CD67A3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CD67A3" w:rsidRDefault="00B71B80" w:rsidP="00EF2770">
            <w:pPr>
              <w:spacing w:after="0" w:line="240" w:lineRule="auto"/>
              <w:rPr>
                <w:rFonts w:ascii="Century Gothic" w:eastAsia="Times New Roman" w:hAnsi="Century Gothic" w:cs="Calibri"/>
                <w:lang w:eastAsia="ru-RU"/>
              </w:rPr>
            </w:pPr>
            <w:r w:rsidRPr="00CD67A3">
              <w:rPr>
                <w:rFonts w:ascii="Century Gothic" w:eastAsia="Times New Roman" w:hAnsi="Century Gothic" w:cs="Calibri"/>
                <w:lang w:eastAsia="ru-RU"/>
              </w:rPr>
              <w:t>Развитие муниципальной системы образования в городском округе город Рыбинск Ярославской области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C92" w:rsidRPr="00983B0E" w:rsidRDefault="00B71B80" w:rsidP="007411F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643,63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983B0E" w:rsidRDefault="00B71B80" w:rsidP="007411F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1952,08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983B0E" w:rsidRDefault="00B71B80" w:rsidP="007411F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230,30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4C92" w:rsidRPr="00983B0E" w:rsidRDefault="00B14C92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0,00</w:t>
            </w:r>
          </w:p>
        </w:tc>
      </w:tr>
      <w:tr w:rsidR="00B14C92" w:rsidRPr="00983B0E" w:rsidTr="00CD67A3">
        <w:trPr>
          <w:trHeight w:val="878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CD67A3" w:rsidRDefault="00B14C92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 w:rsidRPr="00CD67A3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6B2" w:rsidRPr="00CD67A3" w:rsidRDefault="00B14C92" w:rsidP="00C9556D">
            <w:pPr>
              <w:spacing w:after="0" w:line="240" w:lineRule="auto"/>
              <w:ind w:right="-250"/>
              <w:rPr>
                <w:rFonts w:ascii="Century Gothic" w:eastAsia="Times New Roman" w:hAnsi="Century Gothic" w:cs="Calibri"/>
                <w:lang w:eastAsia="ru-RU"/>
              </w:rPr>
            </w:pPr>
            <w:r w:rsidRPr="00CD67A3">
              <w:rPr>
                <w:rFonts w:ascii="Century Gothic" w:eastAsia="Times New Roman" w:hAnsi="Century Gothic" w:cs="Calibri"/>
                <w:lang w:eastAsia="ru-RU"/>
              </w:rPr>
              <w:t>Развитие физической культуры и спорта</w:t>
            </w:r>
          </w:p>
          <w:p w:rsidR="00A427F7" w:rsidRPr="00CD67A3" w:rsidRDefault="00B14C92" w:rsidP="00C9556D">
            <w:pPr>
              <w:spacing w:after="0" w:line="240" w:lineRule="auto"/>
              <w:ind w:right="-250"/>
              <w:rPr>
                <w:rFonts w:ascii="Century Gothic" w:eastAsia="Times New Roman" w:hAnsi="Century Gothic" w:cs="Calibri"/>
                <w:lang w:eastAsia="ru-RU"/>
              </w:rPr>
            </w:pPr>
            <w:r w:rsidRPr="00CD67A3">
              <w:rPr>
                <w:rFonts w:ascii="Century Gothic" w:eastAsia="Times New Roman" w:hAnsi="Century Gothic" w:cs="Calibri"/>
                <w:lang w:eastAsia="ru-RU"/>
              </w:rPr>
              <w:t xml:space="preserve"> в городском округе город Рыбинск</w:t>
            </w:r>
            <w:r w:rsidR="00C9556D" w:rsidRPr="00CD67A3">
              <w:rPr>
                <w:rFonts w:ascii="Century Gothic" w:eastAsia="Times New Roman" w:hAnsi="Century Gothic" w:cs="Calibri"/>
                <w:lang w:eastAsia="ru-RU"/>
              </w:rPr>
              <w:t xml:space="preserve"> </w:t>
            </w:r>
          </w:p>
          <w:p w:rsidR="00B14C92" w:rsidRPr="00CD67A3" w:rsidRDefault="00C9556D" w:rsidP="00C9556D">
            <w:pPr>
              <w:spacing w:after="0" w:line="240" w:lineRule="auto"/>
              <w:ind w:right="-250"/>
              <w:rPr>
                <w:rFonts w:ascii="Century Gothic" w:eastAsia="Times New Roman" w:hAnsi="Century Gothic" w:cs="Calibri"/>
                <w:lang w:eastAsia="ru-RU"/>
              </w:rPr>
            </w:pPr>
            <w:r w:rsidRPr="00CD67A3">
              <w:rPr>
                <w:rFonts w:ascii="Century Gothic" w:eastAsia="Times New Roman" w:hAnsi="Century Gothic" w:cs="Calibri"/>
                <w:lang w:eastAsia="ru-RU"/>
              </w:rPr>
              <w:t>Ярославской области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983B0E" w:rsidRDefault="00B71B80" w:rsidP="00E61A96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245,94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983B0E" w:rsidRDefault="00B71B80" w:rsidP="0075344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20,94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983B0E" w:rsidRDefault="00B71B80" w:rsidP="00D4465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96,92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4C92" w:rsidRPr="00983B0E" w:rsidRDefault="00B14C92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0,00</w:t>
            </w:r>
          </w:p>
        </w:tc>
      </w:tr>
      <w:tr w:rsidR="00B14C92" w:rsidRPr="00983B0E" w:rsidTr="00CD67A3">
        <w:trPr>
          <w:trHeight w:val="20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CD67A3" w:rsidRDefault="00B14C92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 w:rsidRPr="00CD67A3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CD67A3" w:rsidRDefault="00E61A96" w:rsidP="00EF2770">
            <w:pPr>
              <w:spacing w:after="0" w:line="240" w:lineRule="auto"/>
              <w:rPr>
                <w:rFonts w:ascii="Century Gothic" w:eastAsia="Times New Roman" w:hAnsi="Century Gothic" w:cs="Calibri"/>
                <w:lang w:eastAsia="ru-RU"/>
              </w:rPr>
            </w:pPr>
            <w:r w:rsidRPr="00CD67A3">
              <w:rPr>
                <w:rFonts w:ascii="Century Gothic" w:eastAsia="Times New Roman" w:hAnsi="Century Gothic" w:cs="Calibri"/>
                <w:lang w:eastAsia="ru-RU"/>
              </w:rPr>
              <w:t>Реализация м</w:t>
            </w:r>
            <w:r w:rsidR="00B14C92" w:rsidRPr="00CD67A3">
              <w:rPr>
                <w:rFonts w:ascii="Century Gothic" w:eastAsia="Times New Roman" w:hAnsi="Century Gothic" w:cs="Calibri"/>
                <w:lang w:eastAsia="ru-RU"/>
              </w:rPr>
              <w:t>олодежн</w:t>
            </w:r>
            <w:r w:rsidRPr="00CD67A3">
              <w:rPr>
                <w:rFonts w:ascii="Century Gothic" w:eastAsia="Times New Roman" w:hAnsi="Century Gothic" w:cs="Calibri"/>
                <w:lang w:eastAsia="ru-RU"/>
              </w:rPr>
              <w:t>ой</w:t>
            </w:r>
            <w:r w:rsidR="00B14C92" w:rsidRPr="00CD67A3">
              <w:rPr>
                <w:rFonts w:ascii="Century Gothic" w:eastAsia="Times New Roman" w:hAnsi="Century Gothic" w:cs="Calibri"/>
                <w:lang w:eastAsia="ru-RU"/>
              </w:rPr>
              <w:t xml:space="preserve"> политик</w:t>
            </w:r>
            <w:r w:rsidRPr="00CD67A3">
              <w:rPr>
                <w:rFonts w:ascii="Century Gothic" w:eastAsia="Times New Roman" w:hAnsi="Century Gothic" w:cs="Calibri"/>
                <w:lang w:eastAsia="ru-RU"/>
              </w:rPr>
              <w:t>и</w:t>
            </w:r>
            <w:r w:rsidR="00B14C92" w:rsidRPr="00CD67A3">
              <w:rPr>
                <w:rFonts w:ascii="Century Gothic" w:eastAsia="Times New Roman" w:hAnsi="Century Gothic" w:cs="Calibri"/>
                <w:lang w:eastAsia="ru-RU"/>
              </w:rPr>
              <w:t xml:space="preserve"> в городском округе город Рыбинск</w:t>
            </w:r>
            <w:r w:rsidR="00A427F7" w:rsidRPr="00CD67A3">
              <w:rPr>
                <w:rFonts w:ascii="Century Gothic" w:eastAsia="Times New Roman" w:hAnsi="Century Gothic" w:cs="Calibri"/>
                <w:lang w:eastAsia="ru-RU"/>
              </w:rPr>
              <w:t xml:space="preserve"> Ярославской области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BA09F8" w:rsidRDefault="00B71B80" w:rsidP="0004017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BA09F8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46,82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BA09F8" w:rsidRDefault="006D44B7" w:rsidP="0004017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26,73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BA09F8" w:rsidRDefault="00AE7F92" w:rsidP="0004017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BA09F8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4C92" w:rsidRPr="00BA09F8" w:rsidRDefault="00B71B80" w:rsidP="0004017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BA09F8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46,95</w:t>
            </w:r>
          </w:p>
        </w:tc>
      </w:tr>
      <w:tr w:rsidR="004A7107" w:rsidRPr="00983B0E" w:rsidTr="00CD67A3">
        <w:trPr>
          <w:trHeight w:val="20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CD67A3" w:rsidRDefault="004A7107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 w:rsidRPr="00CD67A3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CD67A3" w:rsidRDefault="005D2057" w:rsidP="00CB4E13">
            <w:pPr>
              <w:spacing w:after="0" w:line="240" w:lineRule="auto"/>
              <w:rPr>
                <w:rFonts w:ascii="Century Gothic" w:eastAsia="Times New Roman" w:hAnsi="Century Gothic" w:cs="Calibri"/>
                <w:lang w:eastAsia="ru-RU"/>
              </w:rPr>
            </w:pPr>
            <w:r w:rsidRPr="00CD67A3">
              <w:rPr>
                <w:rFonts w:ascii="Century Gothic" w:eastAsia="Times New Roman" w:hAnsi="Century Gothic" w:cs="Calibri"/>
                <w:lang w:eastAsia="ru-RU"/>
              </w:rPr>
              <w:t xml:space="preserve">Развитие культуры и туризма </w:t>
            </w:r>
            <w:r w:rsidR="004A7107" w:rsidRPr="00CD67A3">
              <w:rPr>
                <w:rFonts w:ascii="Century Gothic" w:eastAsia="Times New Roman" w:hAnsi="Century Gothic" w:cs="Calibri"/>
                <w:lang w:eastAsia="ru-RU"/>
              </w:rPr>
              <w:t>в городском округе город Рыбинск</w:t>
            </w:r>
            <w:r w:rsidR="008020E1" w:rsidRPr="00CD67A3">
              <w:rPr>
                <w:rFonts w:ascii="Century Gothic" w:eastAsia="Times New Roman" w:hAnsi="Century Gothic" w:cs="Calibri"/>
                <w:lang w:eastAsia="ru-RU"/>
              </w:rPr>
              <w:t xml:space="preserve"> Ярославской области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5D2057" w:rsidP="004A710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220,69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5D2057" w:rsidP="009168B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77,84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5D2057" w:rsidP="009168B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23,42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5D2057" w:rsidP="009168B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1,4</w:t>
            </w:r>
          </w:p>
        </w:tc>
      </w:tr>
      <w:tr w:rsidR="004A7107" w:rsidRPr="00983B0E" w:rsidTr="00CD67A3">
        <w:trPr>
          <w:trHeight w:val="20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CD67A3" w:rsidRDefault="004A7107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 w:rsidRPr="00CD67A3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CD67A3" w:rsidRDefault="004A7107" w:rsidP="00EF2770">
            <w:pPr>
              <w:spacing w:after="0" w:line="240" w:lineRule="auto"/>
              <w:rPr>
                <w:rFonts w:ascii="Century Gothic" w:eastAsia="Times New Roman" w:hAnsi="Century Gothic" w:cs="Calibri"/>
                <w:lang w:eastAsia="ru-RU"/>
              </w:rPr>
            </w:pPr>
            <w:r w:rsidRPr="00CD67A3">
              <w:rPr>
                <w:rFonts w:ascii="Century Gothic" w:eastAsia="Times New Roman" w:hAnsi="Century Gothic" w:cs="Calibri"/>
                <w:lang w:eastAsia="ru-RU"/>
              </w:rPr>
              <w:t>Социальная поддержка населения  городского округа город Рыбинск</w:t>
            </w:r>
            <w:r w:rsidR="00F66A4C" w:rsidRPr="00CD67A3">
              <w:rPr>
                <w:rFonts w:ascii="Century Gothic" w:eastAsia="Times New Roman" w:hAnsi="Century Gothic" w:cs="Calibri"/>
                <w:lang w:eastAsia="ru-RU"/>
              </w:rPr>
              <w:t xml:space="preserve"> Ярославской области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5D2057" w:rsidP="00B835CC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14,77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5D2057" w:rsidP="00B835CC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962,99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5D2057" w:rsidP="00B835CC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699,21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F66A4C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</w:t>
            </w:r>
          </w:p>
        </w:tc>
      </w:tr>
      <w:tr w:rsidR="004A7107" w:rsidRPr="00983B0E" w:rsidTr="00CD67A3">
        <w:trPr>
          <w:trHeight w:val="20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CD67A3" w:rsidRDefault="004A7107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 w:rsidRPr="00CD67A3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CD67A3" w:rsidRDefault="004A7107" w:rsidP="00B37D36">
            <w:pPr>
              <w:spacing w:after="0" w:line="240" w:lineRule="auto"/>
              <w:rPr>
                <w:rFonts w:ascii="Century Gothic" w:eastAsia="Times New Roman" w:hAnsi="Century Gothic" w:cs="Calibri"/>
                <w:lang w:eastAsia="ru-RU"/>
              </w:rPr>
            </w:pPr>
            <w:r w:rsidRPr="00CD67A3">
              <w:rPr>
                <w:rFonts w:ascii="Century Gothic" w:eastAsia="Times New Roman" w:hAnsi="Century Gothic" w:cs="Calibri"/>
                <w:lang w:eastAsia="ru-RU"/>
              </w:rPr>
              <w:t>Формирование современной городской среды на территории городского округа город Рыбинск</w:t>
            </w:r>
            <w:r w:rsidR="00370D3B" w:rsidRPr="00CD67A3">
              <w:rPr>
                <w:rFonts w:ascii="Century Gothic" w:eastAsia="Times New Roman" w:hAnsi="Century Gothic" w:cs="Calibri"/>
                <w:lang w:eastAsia="ru-RU"/>
              </w:rPr>
              <w:t xml:space="preserve"> Ярославской области 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5D2057" w:rsidP="00B835CC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9,32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5D2057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4,02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5D2057" w:rsidP="00B835CC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96,37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1D579C" w:rsidP="00B835CC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</w:t>
            </w:r>
          </w:p>
        </w:tc>
      </w:tr>
      <w:tr w:rsidR="00695860" w:rsidRPr="00983B0E" w:rsidTr="00CD67A3">
        <w:trPr>
          <w:trHeight w:val="20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860" w:rsidRPr="00CD67A3" w:rsidRDefault="00695860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 w:rsidRPr="00CD67A3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860" w:rsidRPr="00CD67A3" w:rsidRDefault="00574942" w:rsidP="00EF2770">
            <w:pPr>
              <w:spacing w:after="0" w:line="240" w:lineRule="auto"/>
              <w:rPr>
                <w:rFonts w:ascii="Century Gothic" w:eastAsia="Times New Roman" w:hAnsi="Century Gothic" w:cs="Calibri"/>
                <w:lang w:eastAsia="ru-RU"/>
              </w:rPr>
            </w:pPr>
            <w:r w:rsidRPr="00CD67A3">
              <w:rPr>
                <w:rFonts w:ascii="Century Gothic" w:eastAsia="Times New Roman" w:hAnsi="Century Gothic" w:cs="Calibri"/>
                <w:lang w:eastAsia="ru-RU"/>
              </w:rPr>
              <w:t xml:space="preserve">Благоустройство и озеленение территории городского округа город Рыбинск Ярославской области 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860" w:rsidRPr="00983B0E" w:rsidRDefault="00574942" w:rsidP="00B835CC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205,04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860" w:rsidRPr="00983B0E" w:rsidRDefault="00574942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44,85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860" w:rsidRPr="00983B0E" w:rsidRDefault="00695860" w:rsidP="00B835CC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5860" w:rsidRPr="00983B0E" w:rsidRDefault="00695860" w:rsidP="00B835CC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</w:t>
            </w:r>
          </w:p>
        </w:tc>
      </w:tr>
      <w:tr w:rsidR="004A7107" w:rsidRPr="00983B0E" w:rsidTr="00CD67A3">
        <w:trPr>
          <w:trHeight w:val="20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CD67A3" w:rsidRDefault="00B23FB5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 w:rsidRPr="00CD67A3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CD67A3" w:rsidRDefault="004A7107" w:rsidP="00CB4E13">
            <w:pPr>
              <w:spacing w:after="0" w:line="240" w:lineRule="auto"/>
              <w:rPr>
                <w:rFonts w:ascii="Century Gothic" w:eastAsia="Times New Roman" w:hAnsi="Century Gothic" w:cs="Calibri"/>
                <w:lang w:eastAsia="ru-RU"/>
              </w:rPr>
            </w:pPr>
            <w:r w:rsidRPr="00CD67A3">
              <w:rPr>
                <w:rFonts w:ascii="Century Gothic" w:eastAsia="Times New Roman" w:hAnsi="Century Gothic" w:cs="Calibri"/>
                <w:lang w:eastAsia="ru-RU"/>
              </w:rPr>
              <w:t>Газификация индивидуального жилищного фонда городского округа город Рыбинск</w:t>
            </w:r>
            <w:r w:rsidR="00746650" w:rsidRPr="00CD67A3">
              <w:rPr>
                <w:rFonts w:ascii="Century Gothic" w:eastAsia="Times New Roman" w:hAnsi="Century Gothic" w:cs="Calibri"/>
                <w:lang w:eastAsia="ru-RU"/>
              </w:rPr>
              <w:t xml:space="preserve"> Ярославской области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80311B" w:rsidP="003A09B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5,45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80311B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7,32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1D579C" w:rsidP="003A09B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B001D1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</w:t>
            </w:r>
          </w:p>
        </w:tc>
      </w:tr>
      <w:tr w:rsidR="004A7107" w:rsidRPr="00983B0E" w:rsidTr="00CD67A3">
        <w:trPr>
          <w:trHeight w:val="20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CD67A3" w:rsidRDefault="00B23FB5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 w:rsidRPr="00CD67A3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CD67A3" w:rsidRDefault="004A7107" w:rsidP="00CB4E1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ru-RU"/>
              </w:rPr>
            </w:pPr>
            <w:r w:rsidRPr="00CD67A3">
              <w:rPr>
                <w:rFonts w:ascii="Century Gothic" w:eastAsia="Times New Roman" w:hAnsi="Century Gothic" w:cs="Calibri"/>
                <w:color w:val="000000"/>
                <w:lang w:eastAsia="ru-RU"/>
              </w:rPr>
              <w:t>Развитие дорожного хозяйства  городского округа город Рыбинск</w:t>
            </w:r>
            <w:r w:rsidR="00D36B12" w:rsidRPr="00CD67A3">
              <w:rPr>
                <w:rFonts w:ascii="Century Gothic" w:eastAsia="Times New Roman" w:hAnsi="Century Gothic" w:cs="Calibri"/>
                <w:color w:val="000000"/>
                <w:lang w:eastAsia="ru-RU"/>
              </w:rPr>
              <w:t xml:space="preserve"> Ярославской области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5D2057" w:rsidP="00E50FB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213,52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5D2057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194,95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5D2057" w:rsidP="00E50FB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399,99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1D579C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A7107" w:rsidRPr="00983B0E" w:rsidTr="00CD67A3">
        <w:trPr>
          <w:trHeight w:val="20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CD67A3" w:rsidRDefault="00B23FB5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 w:rsidRPr="00CD67A3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CD67A3" w:rsidRDefault="004A7107" w:rsidP="00D36B12">
            <w:pPr>
              <w:spacing w:after="0" w:line="240" w:lineRule="auto"/>
              <w:rPr>
                <w:rFonts w:ascii="Century Gothic" w:eastAsia="Times New Roman" w:hAnsi="Century Gothic" w:cs="Calibri"/>
                <w:lang w:eastAsia="ru-RU"/>
              </w:rPr>
            </w:pPr>
            <w:r w:rsidRPr="00CD67A3">
              <w:rPr>
                <w:rFonts w:ascii="Century Gothic" w:eastAsia="Times New Roman" w:hAnsi="Century Gothic" w:cs="Calibri"/>
                <w:lang w:eastAsia="ru-RU"/>
              </w:rPr>
              <w:t>Обеспечение доступным и комфортным жильем населения городского округа город Рыбинск</w:t>
            </w:r>
            <w:r w:rsidR="00D36B12" w:rsidRPr="00CD67A3">
              <w:rPr>
                <w:rFonts w:ascii="Century Gothic" w:eastAsia="Times New Roman" w:hAnsi="Century Gothic" w:cs="Calibri"/>
                <w:lang w:eastAsia="ru-RU"/>
              </w:rPr>
              <w:t xml:space="preserve"> Ярославской области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574942" w:rsidP="00DB40A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67,17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574942" w:rsidP="00BE59E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2,51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574942" w:rsidP="00BE59E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0,52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AD5155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</w:t>
            </w:r>
          </w:p>
        </w:tc>
      </w:tr>
      <w:tr w:rsidR="004A7107" w:rsidRPr="00983B0E" w:rsidTr="00CD67A3">
        <w:trPr>
          <w:trHeight w:val="75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CD67A3" w:rsidRDefault="00B23FB5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 w:rsidRPr="00CD67A3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CD67A3" w:rsidRDefault="004A7107" w:rsidP="00CB4E13">
            <w:pPr>
              <w:spacing w:after="0" w:line="240" w:lineRule="auto"/>
              <w:rPr>
                <w:rFonts w:ascii="Century Gothic" w:eastAsia="Times New Roman" w:hAnsi="Century Gothic" w:cs="Calibri"/>
                <w:lang w:eastAsia="ru-RU"/>
              </w:rPr>
            </w:pPr>
            <w:r w:rsidRPr="00CD67A3">
              <w:rPr>
                <w:rFonts w:ascii="Century Gothic" w:eastAsia="Times New Roman" w:hAnsi="Century Gothic" w:cs="Calibri"/>
                <w:lang w:eastAsia="ru-RU"/>
              </w:rPr>
              <w:t>Гражданское общество и открытая власть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B23FB5" w:rsidP="00BE59E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6,28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B23FB5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0,36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222856" w:rsidP="009A20E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4A7107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</w:t>
            </w:r>
          </w:p>
        </w:tc>
      </w:tr>
      <w:tr w:rsidR="00AD5155" w:rsidRPr="00983B0E" w:rsidTr="00CD67A3">
        <w:trPr>
          <w:trHeight w:val="75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55" w:rsidRPr="00CD67A3" w:rsidRDefault="00B23FB5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 w:rsidRPr="00CD67A3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51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55" w:rsidRPr="00CD67A3" w:rsidRDefault="00B001D1" w:rsidP="00B001D1">
            <w:pPr>
              <w:spacing w:after="0" w:line="240" w:lineRule="auto"/>
              <w:rPr>
                <w:rFonts w:ascii="Century Gothic" w:eastAsia="Times New Roman" w:hAnsi="Century Gothic" w:cs="Calibri"/>
                <w:lang w:eastAsia="ru-RU"/>
              </w:rPr>
            </w:pPr>
            <w:r w:rsidRPr="00CD67A3">
              <w:rPr>
                <w:rFonts w:ascii="Century Gothic" w:eastAsia="Times New Roman" w:hAnsi="Century Gothic" w:cs="Calibri"/>
                <w:lang w:eastAsia="ru-RU"/>
              </w:rPr>
              <w:t>Переселение граждан из аварийного жилищного фонда в городском округе город Рыбинск Ярославской области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55" w:rsidRPr="00983B0E" w:rsidRDefault="00574942" w:rsidP="00BE59E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0,52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55" w:rsidRPr="00983B0E" w:rsidRDefault="00CB35C8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1,87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55" w:rsidRPr="00983B0E" w:rsidRDefault="00CB35C8" w:rsidP="009A20E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52,83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5155" w:rsidRPr="00983B0E" w:rsidRDefault="00EA093E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</w:t>
            </w:r>
          </w:p>
        </w:tc>
      </w:tr>
      <w:tr w:rsidR="00B001D1" w:rsidRPr="00983B0E" w:rsidTr="00CD67A3">
        <w:trPr>
          <w:trHeight w:val="75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1D1" w:rsidRPr="00CD67A3" w:rsidRDefault="00B23FB5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 w:rsidRPr="00CD67A3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1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1D1" w:rsidRPr="00CD67A3" w:rsidRDefault="00B001D1" w:rsidP="00B001D1">
            <w:pPr>
              <w:spacing w:after="0" w:line="240" w:lineRule="auto"/>
              <w:rPr>
                <w:rFonts w:ascii="Century Gothic" w:eastAsia="Times New Roman" w:hAnsi="Century Gothic" w:cs="Calibri"/>
                <w:lang w:eastAsia="ru-RU"/>
              </w:rPr>
            </w:pPr>
            <w:r w:rsidRPr="00CD67A3">
              <w:rPr>
                <w:rFonts w:ascii="Century Gothic" w:eastAsia="Times New Roman" w:hAnsi="Century Gothic" w:cs="Calibri"/>
                <w:lang w:eastAsia="ru-RU"/>
              </w:rPr>
              <w:t>Энергоэффективность в городском округе город Рыбинск Ярославской области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1D1" w:rsidRPr="00983B0E" w:rsidRDefault="00CB35C8" w:rsidP="00BE59E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0,061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1D1" w:rsidRPr="00983B0E" w:rsidRDefault="00B001D1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1D1" w:rsidRPr="00983B0E" w:rsidRDefault="00B001D1" w:rsidP="009A20E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01D1" w:rsidRPr="00983B0E" w:rsidRDefault="00CB35C8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74,52</w:t>
            </w:r>
          </w:p>
        </w:tc>
      </w:tr>
      <w:tr w:rsidR="00B23FB5" w:rsidRPr="00983B0E" w:rsidTr="00CD67A3">
        <w:trPr>
          <w:trHeight w:val="75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FB5" w:rsidRPr="00CD67A3" w:rsidRDefault="00B23FB5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 w:rsidRPr="00CD67A3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FB5" w:rsidRPr="00CD67A3" w:rsidRDefault="00B23FB5" w:rsidP="00B001D1">
            <w:pPr>
              <w:spacing w:after="0" w:line="240" w:lineRule="auto"/>
              <w:rPr>
                <w:rFonts w:ascii="Century Gothic" w:eastAsia="Times New Roman" w:hAnsi="Century Gothic" w:cs="Calibri"/>
                <w:lang w:eastAsia="ru-RU"/>
              </w:rPr>
            </w:pPr>
            <w:r w:rsidRPr="00CD67A3">
              <w:rPr>
                <w:rFonts w:ascii="Century Gothic" w:eastAsia="Times New Roman" w:hAnsi="Century Gothic" w:cs="Calibri"/>
                <w:lang w:eastAsia="ru-RU"/>
              </w:rPr>
              <w:t xml:space="preserve">Повышение эффективности деятельности органов местного самоуправления 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FB5" w:rsidRDefault="00B23FB5" w:rsidP="00BE59E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48,61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FB5" w:rsidRPr="00983B0E" w:rsidRDefault="00B23FB5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FB5" w:rsidRPr="00983B0E" w:rsidRDefault="00B23FB5" w:rsidP="009A20E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3FB5" w:rsidRDefault="00B23FB5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</w:t>
            </w:r>
          </w:p>
        </w:tc>
      </w:tr>
      <w:tr w:rsidR="004A7107" w:rsidRPr="00983B0E" w:rsidTr="00CD67A3">
        <w:trPr>
          <w:trHeight w:val="75"/>
        </w:trPr>
        <w:tc>
          <w:tcPr>
            <w:tcW w:w="56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7107" w:rsidRPr="00983B0E" w:rsidRDefault="004A7107" w:rsidP="00B14C92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b/>
                <w:bCs/>
                <w:color w:val="000000"/>
                <w:sz w:val="28"/>
                <w:szCs w:val="28"/>
                <w:lang w:eastAsia="ru-RU"/>
              </w:rPr>
              <w:t xml:space="preserve">Итого: 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CD67A3" w:rsidP="00DF67EC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4"/>
                <w:szCs w:val="24"/>
                <w:lang w:eastAsia="ru-RU"/>
              </w:rPr>
              <w:t>1727,82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6D44B7" w:rsidP="00FB6BB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4"/>
                <w:szCs w:val="24"/>
                <w:lang w:eastAsia="ru-RU"/>
              </w:rPr>
              <w:t>3296,66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CD67A3" w:rsidP="00C30345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4"/>
                <w:szCs w:val="24"/>
                <w:lang w:eastAsia="ru-RU"/>
              </w:rPr>
              <w:t>1599,56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CD67A3" w:rsidP="00DF67EC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4"/>
                <w:szCs w:val="24"/>
                <w:lang w:eastAsia="ru-RU"/>
              </w:rPr>
              <w:t>122,87</w:t>
            </w:r>
          </w:p>
        </w:tc>
      </w:tr>
    </w:tbl>
    <w:p w:rsidR="008E5675" w:rsidRDefault="008E5675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b/>
          <w:sz w:val="24"/>
          <w:szCs w:val="24"/>
          <w:lang w:eastAsia="ru-RU"/>
        </w:rPr>
      </w:pP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>В 20</w:t>
      </w:r>
      <w:r w:rsidR="009616B2">
        <w:rPr>
          <w:rFonts w:ascii="Century Gothic" w:eastAsia="Times New Roman" w:hAnsi="Century Gothic"/>
          <w:sz w:val="24"/>
          <w:szCs w:val="24"/>
          <w:lang w:eastAsia="ru-RU"/>
        </w:rPr>
        <w:t>2</w:t>
      </w:r>
      <w:r w:rsidR="00CD67A3">
        <w:rPr>
          <w:rFonts w:ascii="Century Gothic" w:eastAsia="Times New Roman" w:hAnsi="Century Gothic"/>
          <w:sz w:val="24"/>
          <w:szCs w:val="24"/>
          <w:lang w:eastAsia="ru-RU"/>
        </w:rPr>
        <w:t>1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году коэффициент привлечения средств вышестоящих бюджетов, а также внебюджетных источников на реализацию всех </w:t>
      </w:r>
      <w:r w:rsidR="002406F0">
        <w:rPr>
          <w:rFonts w:ascii="Century Gothic" w:eastAsia="Times New Roman" w:hAnsi="Century Gothic"/>
          <w:sz w:val="24"/>
          <w:szCs w:val="24"/>
          <w:lang w:eastAsia="ru-RU"/>
        </w:rPr>
        <w:t xml:space="preserve">МП 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составил </w:t>
      </w:r>
      <w:r w:rsidR="000D5895">
        <w:rPr>
          <w:rFonts w:ascii="Century Gothic" w:eastAsia="Times New Roman" w:hAnsi="Century Gothic"/>
          <w:b/>
          <w:sz w:val="24"/>
          <w:szCs w:val="24"/>
          <w:lang w:eastAsia="ru-RU"/>
        </w:rPr>
        <w:t>2,</w:t>
      </w:r>
      <w:r w:rsidR="00CB4E13">
        <w:rPr>
          <w:rFonts w:ascii="Century Gothic" w:eastAsia="Times New Roman" w:hAnsi="Century Gothic"/>
          <w:b/>
          <w:sz w:val="24"/>
          <w:szCs w:val="24"/>
          <w:lang w:eastAsia="ru-RU"/>
        </w:rPr>
        <w:t>9</w:t>
      </w:r>
    </w:p>
    <w:p w:rsidR="001E4DBD" w:rsidRDefault="001E4DBD" w:rsidP="001E4DBD">
      <w:pPr>
        <w:spacing w:after="0" w:line="240" w:lineRule="auto"/>
        <w:jc w:val="center"/>
        <w:rPr>
          <w:rFonts w:ascii="Century Gothic" w:eastAsia="Times New Roman" w:hAnsi="Century Gothic"/>
          <w:b/>
          <w:sz w:val="24"/>
          <w:szCs w:val="24"/>
          <w:lang w:eastAsia="ru-RU"/>
        </w:rPr>
      </w:pPr>
      <w:r>
        <w:rPr>
          <w:rFonts w:ascii="Century Gothic" w:eastAsia="Times New Roman" w:hAnsi="Century Gothic"/>
          <w:b/>
          <w:noProof/>
          <w:sz w:val="24"/>
          <w:szCs w:val="24"/>
          <w:lang w:eastAsia="ru-RU"/>
        </w:rPr>
        <w:drawing>
          <wp:inline distT="0" distB="0" distL="0" distR="0">
            <wp:extent cx="6296025" cy="2867025"/>
            <wp:effectExtent l="0" t="0" r="0" b="0"/>
            <wp:docPr id="6" name="Объект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763BD" w:rsidRDefault="000763BD" w:rsidP="001E4DBD">
      <w:pPr>
        <w:spacing w:after="0" w:line="240" w:lineRule="auto"/>
        <w:ind w:firstLine="567"/>
        <w:rPr>
          <w:rFonts w:ascii="Century Gothic" w:eastAsia="Times New Roman" w:hAnsi="Century Gothic"/>
          <w:b/>
          <w:sz w:val="24"/>
          <w:szCs w:val="24"/>
          <w:lang w:eastAsia="ru-RU"/>
        </w:rPr>
      </w:pPr>
    </w:p>
    <w:p w:rsidR="00390E92" w:rsidRDefault="008E5675" w:rsidP="00A10395">
      <w:pPr>
        <w:spacing w:after="0" w:line="240" w:lineRule="auto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proofErr w:type="gramStart"/>
      <w:r w:rsidRPr="00983B0E">
        <w:rPr>
          <w:rFonts w:ascii="Century Gothic" w:eastAsia="Times New Roman" w:hAnsi="Century Gothic"/>
          <w:sz w:val="24"/>
          <w:szCs w:val="24"/>
          <w:lang w:eastAsia="ru-RU"/>
        </w:rPr>
        <w:t xml:space="preserve">Основные </w:t>
      </w:r>
      <w:r w:rsidR="002406F0" w:rsidRPr="00983B0E">
        <w:rPr>
          <w:rFonts w:ascii="Century Gothic" w:eastAsia="Times New Roman" w:hAnsi="Century Gothic"/>
          <w:sz w:val="24"/>
          <w:szCs w:val="24"/>
          <w:lang w:eastAsia="ru-RU"/>
        </w:rPr>
        <w:t>объемы софинансирования из вышестоящих бюджетов</w:t>
      </w:r>
      <w:r w:rsidRPr="00983B0E">
        <w:rPr>
          <w:rFonts w:ascii="Century Gothic" w:eastAsia="Times New Roman" w:hAnsi="Century Gothic"/>
          <w:sz w:val="24"/>
          <w:szCs w:val="24"/>
          <w:lang w:eastAsia="ru-RU"/>
        </w:rPr>
        <w:t xml:space="preserve"> в 20</w:t>
      </w:r>
      <w:r w:rsidR="00EC5727">
        <w:rPr>
          <w:rFonts w:ascii="Century Gothic" w:eastAsia="Times New Roman" w:hAnsi="Century Gothic"/>
          <w:sz w:val="24"/>
          <w:szCs w:val="24"/>
          <w:lang w:eastAsia="ru-RU"/>
        </w:rPr>
        <w:t>21</w:t>
      </w:r>
      <w:r w:rsidR="00797B5C" w:rsidRPr="00983B0E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Pr="00983B0E">
        <w:rPr>
          <w:rFonts w:ascii="Century Gothic" w:eastAsia="Times New Roman" w:hAnsi="Century Gothic"/>
          <w:sz w:val="24"/>
          <w:szCs w:val="24"/>
          <w:lang w:eastAsia="ru-RU"/>
        </w:rPr>
        <w:t>году были получены</w:t>
      </w:r>
      <w:r w:rsidR="00B14C92" w:rsidRPr="00983B0E">
        <w:rPr>
          <w:rFonts w:ascii="Century Gothic" w:eastAsia="Times New Roman" w:hAnsi="Century Gothic"/>
          <w:sz w:val="24"/>
          <w:szCs w:val="24"/>
          <w:lang w:eastAsia="ru-RU"/>
        </w:rPr>
        <w:t xml:space="preserve"> по</w:t>
      </w:r>
      <w:r w:rsidRPr="00983B0E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="00B14C92" w:rsidRPr="00983B0E">
        <w:rPr>
          <w:rFonts w:ascii="Century Gothic" w:eastAsia="Times New Roman" w:hAnsi="Century Gothic"/>
          <w:sz w:val="24"/>
          <w:szCs w:val="24"/>
          <w:lang w:eastAsia="ru-RU"/>
        </w:rPr>
        <w:t>МП «</w:t>
      </w:r>
      <w:r w:rsidR="00EC5727" w:rsidRPr="00EC5727">
        <w:rPr>
          <w:rFonts w:ascii="Century Gothic" w:eastAsia="Times New Roman" w:hAnsi="Century Gothic" w:cs="Calibri"/>
          <w:sz w:val="24"/>
          <w:lang w:eastAsia="ru-RU"/>
        </w:rPr>
        <w:t>Развитие муниципальной системы образования в городском округе город Рыбинск Ярославской области</w:t>
      </w:r>
      <w:r w:rsidR="00B14C92" w:rsidRPr="00983B0E">
        <w:rPr>
          <w:rFonts w:ascii="Century Gothic" w:eastAsia="Times New Roman" w:hAnsi="Century Gothic"/>
          <w:sz w:val="24"/>
          <w:szCs w:val="24"/>
          <w:lang w:eastAsia="ru-RU"/>
        </w:rPr>
        <w:t xml:space="preserve">», </w:t>
      </w:r>
      <w:r w:rsidR="00EC5727">
        <w:rPr>
          <w:rFonts w:ascii="Century Gothic" w:eastAsia="Times New Roman" w:hAnsi="Century Gothic"/>
          <w:sz w:val="24"/>
          <w:szCs w:val="24"/>
          <w:lang w:eastAsia="ru-RU"/>
        </w:rPr>
        <w:t>МП</w:t>
      </w:r>
      <w:r w:rsidR="00B14C92" w:rsidRPr="00983B0E">
        <w:rPr>
          <w:rFonts w:ascii="Century Gothic" w:eastAsia="Times New Roman" w:hAnsi="Century Gothic"/>
          <w:sz w:val="24"/>
          <w:szCs w:val="24"/>
          <w:lang w:eastAsia="ru-RU"/>
        </w:rPr>
        <w:t xml:space="preserve"> «Социальная поддержка населения г</w:t>
      </w:r>
      <w:r w:rsidR="00543DB7" w:rsidRPr="00983B0E">
        <w:rPr>
          <w:rFonts w:ascii="Century Gothic" w:eastAsia="Times New Roman" w:hAnsi="Century Gothic"/>
          <w:sz w:val="24"/>
          <w:szCs w:val="24"/>
          <w:lang w:eastAsia="ru-RU"/>
        </w:rPr>
        <w:t>ородского округа город Рыбинск</w:t>
      </w:r>
      <w:r w:rsidR="005A61EA" w:rsidRPr="00983B0E">
        <w:rPr>
          <w:rFonts w:ascii="Century Gothic" w:eastAsia="Times New Roman" w:hAnsi="Century Gothic"/>
          <w:sz w:val="24"/>
          <w:szCs w:val="24"/>
          <w:lang w:eastAsia="ru-RU"/>
        </w:rPr>
        <w:t xml:space="preserve"> Ярославской области</w:t>
      </w:r>
      <w:r w:rsidR="00543DB7" w:rsidRPr="00983B0E">
        <w:rPr>
          <w:rFonts w:ascii="Century Gothic" w:eastAsia="Times New Roman" w:hAnsi="Century Gothic"/>
          <w:sz w:val="24"/>
          <w:szCs w:val="24"/>
          <w:lang w:eastAsia="ru-RU"/>
        </w:rPr>
        <w:t xml:space="preserve">», </w:t>
      </w:r>
      <w:r w:rsidR="00797B5C" w:rsidRPr="00983B0E">
        <w:rPr>
          <w:rFonts w:ascii="Century Gothic" w:eastAsia="Times New Roman" w:hAnsi="Century Gothic"/>
          <w:sz w:val="24"/>
          <w:szCs w:val="24"/>
          <w:lang w:eastAsia="ru-RU"/>
        </w:rPr>
        <w:t>МП «</w:t>
      </w:r>
      <w:r w:rsidR="00EC5727" w:rsidRPr="00EC5727">
        <w:rPr>
          <w:rFonts w:ascii="Century Gothic" w:eastAsia="Times New Roman" w:hAnsi="Century Gothic" w:cs="Calibri"/>
          <w:sz w:val="24"/>
          <w:lang w:eastAsia="ru-RU"/>
        </w:rPr>
        <w:t>Развитие физической культуры и спорта в городском округе город Рыбинск Ярославской области</w:t>
      </w:r>
      <w:r w:rsidR="00797B5C" w:rsidRPr="00983B0E">
        <w:rPr>
          <w:rFonts w:ascii="Century Gothic" w:eastAsia="Times New Roman" w:hAnsi="Century Gothic"/>
          <w:sz w:val="24"/>
          <w:szCs w:val="24"/>
          <w:lang w:eastAsia="ru-RU"/>
        </w:rPr>
        <w:t xml:space="preserve">», </w:t>
      </w:r>
      <w:r w:rsidR="00EC5727">
        <w:rPr>
          <w:rFonts w:ascii="Century Gothic" w:eastAsia="Times New Roman" w:hAnsi="Century Gothic"/>
          <w:sz w:val="24"/>
          <w:szCs w:val="24"/>
          <w:lang w:eastAsia="ru-RU"/>
        </w:rPr>
        <w:t xml:space="preserve"> МП «</w:t>
      </w:r>
      <w:r w:rsidR="00EC5727" w:rsidRPr="00CD67A3">
        <w:rPr>
          <w:rFonts w:ascii="Century Gothic" w:eastAsia="Times New Roman" w:hAnsi="Century Gothic" w:cs="Calibri"/>
          <w:lang w:eastAsia="ru-RU"/>
        </w:rPr>
        <w:t>Развитие культуры и туризма в городском округе город Рыбинск Ярославской области</w:t>
      </w:r>
      <w:r w:rsidR="00EC5727">
        <w:rPr>
          <w:rFonts w:ascii="Century Gothic" w:eastAsia="Times New Roman" w:hAnsi="Century Gothic"/>
          <w:sz w:val="24"/>
          <w:szCs w:val="24"/>
          <w:lang w:eastAsia="ru-RU"/>
        </w:rPr>
        <w:t xml:space="preserve">»,  </w:t>
      </w:r>
      <w:r w:rsidR="00797B5C" w:rsidRPr="00983B0E">
        <w:rPr>
          <w:rFonts w:ascii="Century Gothic" w:eastAsia="Times New Roman" w:hAnsi="Century Gothic"/>
          <w:sz w:val="24"/>
          <w:szCs w:val="24"/>
          <w:lang w:eastAsia="ru-RU"/>
        </w:rPr>
        <w:t>МП</w:t>
      </w:r>
      <w:proofErr w:type="gramEnd"/>
      <w:r w:rsidR="00797B5C" w:rsidRPr="00983B0E">
        <w:rPr>
          <w:rFonts w:ascii="Century Gothic" w:eastAsia="Times New Roman" w:hAnsi="Century Gothic"/>
          <w:sz w:val="24"/>
          <w:szCs w:val="24"/>
          <w:lang w:eastAsia="ru-RU"/>
        </w:rPr>
        <w:t xml:space="preserve"> «Развитие дорожного хозяйства городского округа гор</w:t>
      </w:r>
      <w:r w:rsidR="00ED77FF" w:rsidRPr="00983B0E">
        <w:rPr>
          <w:rFonts w:ascii="Century Gothic" w:eastAsia="Times New Roman" w:hAnsi="Century Gothic"/>
          <w:sz w:val="24"/>
          <w:szCs w:val="24"/>
          <w:lang w:eastAsia="ru-RU"/>
        </w:rPr>
        <w:t>од Рыбинск Ярославской области»</w:t>
      </w:r>
      <w:r w:rsidR="00CB79B5" w:rsidRPr="00983B0E">
        <w:rPr>
          <w:rFonts w:ascii="Century Gothic" w:eastAsia="Times New Roman" w:hAnsi="Century Gothic"/>
          <w:sz w:val="24"/>
          <w:szCs w:val="24"/>
          <w:lang w:eastAsia="ru-RU"/>
        </w:rPr>
        <w:t>.</w:t>
      </w:r>
    </w:p>
    <w:p w:rsidR="00CB79B5" w:rsidRDefault="00CB79B5" w:rsidP="00ED77FF">
      <w:pPr>
        <w:spacing w:after="0" w:line="240" w:lineRule="auto"/>
        <w:ind w:firstLine="567"/>
        <w:jc w:val="both"/>
        <w:rPr>
          <w:rFonts w:ascii="Century Gothic" w:eastAsia="Times New Roman" w:hAnsi="Century Gothic"/>
          <w:b/>
          <w:bCs/>
          <w:sz w:val="24"/>
          <w:szCs w:val="24"/>
          <w:lang w:eastAsia="ru-RU"/>
        </w:rPr>
      </w:pPr>
    </w:p>
    <w:p w:rsidR="00390E92" w:rsidRDefault="008E5675" w:rsidP="00390E92">
      <w:pPr>
        <w:spacing w:after="0" w:line="240" w:lineRule="auto"/>
        <w:ind w:firstLine="567"/>
        <w:jc w:val="center"/>
        <w:rPr>
          <w:rFonts w:ascii="Century Gothic" w:eastAsia="Times New Roman" w:hAnsi="Century Gothic"/>
          <w:b/>
          <w:bCs/>
          <w:sz w:val="24"/>
          <w:szCs w:val="24"/>
          <w:lang w:eastAsia="ru-RU"/>
        </w:rPr>
      </w:pPr>
      <w:r w:rsidRPr="006D6355">
        <w:rPr>
          <w:rFonts w:ascii="Century Gothic" w:eastAsia="Times New Roman" w:hAnsi="Century Gothic"/>
          <w:b/>
          <w:bCs/>
          <w:sz w:val="24"/>
          <w:szCs w:val="24"/>
          <w:lang w:eastAsia="ru-RU"/>
        </w:rPr>
        <w:t>Оценка результативности и эффективности программ</w:t>
      </w:r>
    </w:p>
    <w:p w:rsidR="008E5675" w:rsidRPr="006D6355" w:rsidRDefault="008E5675" w:rsidP="00621753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Для оценки эффективности использования расходуемых бюджетных средств на </w:t>
      </w:r>
      <w:r w:rsidRPr="006D6355">
        <w:rPr>
          <w:rFonts w:ascii="Century Gothic" w:eastAsia="Times New Roman" w:hAnsi="Century Gothic"/>
          <w:iCs/>
          <w:sz w:val="24"/>
          <w:szCs w:val="24"/>
          <w:lang w:eastAsia="ru-RU"/>
        </w:rPr>
        <w:t xml:space="preserve">реализацию программ, действовавших в 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>20</w:t>
      </w:r>
      <w:r w:rsidR="00797B5C">
        <w:rPr>
          <w:rFonts w:ascii="Century Gothic" w:eastAsia="Times New Roman" w:hAnsi="Century Gothic"/>
          <w:sz w:val="24"/>
          <w:szCs w:val="24"/>
          <w:lang w:eastAsia="ru-RU"/>
        </w:rPr>
        <w:t>2</w:t>
      </w:r>
      <w:r w:rsidR="00621753">
        <w:rPr>
          <w:rFonts w:ascii="Century Gothic" w:eastAsia="Times New Roman" w:hAnsi="Century Gothic"/>
          <w:sz w:val="24"/>
          <w:szCs w:val="24"/>
          <w:lang w:eastAsia="ru-RU"/>
        </w:rPr>
        <w:t>1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году, проведен мониторинг </w:t>
      </w:r>
      <w:r w:rsidR="00621753">
        <w:rPr>
          <w:rFonts w:ascii="Century Gothic" w:eastAsia="Times New Roman" w:hAnsi="Century Gothic"/>
          <w:sz w:val="24"/>
          <w:szCs w:val="24"/>
          <w:lang w:eastAsia="ru-RU"/>
        </w:rPr>
        <w:t xml:space="preserve">эффективности и результативности муниципальных программ. </w:t>
      </w:r>
    </w:p>
    <w:p w:rsidR="002406F0" w:rsidRDefault="00621753" w:rsidP="008E5675">
      <w:pPr>
        <w:spacing w:after="0" w:line="240" w:lineRule="auto"/>
        <w:ind w:right="-1"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Оценка эффективности и результативности реализации МП </w:t>
      </w:r>
      <w:r w:rsidR="008E5675"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представлена в Приложении </w:t>
      </w:r>
      <w:r w:rsidR="00D76919">
        <w:rPr>
          <w:rFonts w:ascii="Century Gothic" w:eastAsia="Times New Roman" w:hAnsi="Century Gothic"/>
          <w:sz w:val="24"/>
          <w:szCs w:val="24"/>
          <w:lang w:eastAsia="ru-RU"/>
        </w:rPr>
        <w:t>3</w:t>
      </w:r>
      <w:r w:rsidR="008E5675" w:rsidRPr="006D6355">
        <w:rPr>
          <w:rFonts w:ascii="Century Gothic" w:eastAsia="Times New Roman" w:hAnsi="Century Gothic"/>
          <w:sz w:val="24"/>
          <w:szCs w:val="24"/>
          <w:lang w:eastAsia="ru-RU"/>
        </w:rPr>
        <w:t>.</w:t>
      </w:r>
    </w:p>
    <w:p w:rsidR="008E5675" w:rsidRPr="006D6355" w:rsidRDefault="008E5675" w:rsidP="008E5675">
      <w:pPr>
        <w:spacing w:after="0" w:line="240" w:lineRule="auto"/>
        <w:ind w:right="-1"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473512">
        <w:rPr>
          <w:rFonts w:ascii="Century Gothic" w:eastAsia="Times New Roman" w:hAnsi="Century Gothic"/>
          <w:sz w:val="24"/>
          <w:szCs w:val="24"/>
          <w:lang w:eastAsia="ru-RU"/>
        </w:rPr>
        <w:t xml:space="preserve">В результате </w:t>
      </w:r>
      <w:proofErr w:type="gramStart"/>
      <w:r w:rsidRPr="00473512">
        <w:rPr>
          <w:rFonts w:ascii="Century Gothic" w:eastAsia="Times New Roman" w:hAnsi="Century Gothic"/>
          <w:sz w:val="24"/>
          <w:szCs w:val="24"/>
          <w:lang w:eastAsia="ru-RU"/>
        </w:rPr>
        <w:t>проведения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анализа оценки эффективности </w:t>
      </w:r>
      <w:r w:rsidR="007006DE">
        <w:rPr>
          <w:rFonts w:ascii="Century Gothic" w:eastAsia="Times New Roman" w:hAnsi="Century Gothic"/>
          <w:sz w:val="24"/>
          <w:szCs w:val="24"/>
          <w:lang w:eastAsia="ru-RU"/>
        </w:rPr>
        <w:t>реализации МП</w:t>
      </w:r>
      <w:proofErr w:type="gramEnd"/>
      <w:r w:rsidR="007006DE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>признаны:</w:t>
      </w:r>
    </w:p>
    <w:p w:rsidR="00971BCD" w:rsidRPr="00390E92" w:rsidRDefault="008E5675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color w:val="000000"/>
          <w:sz w:val="24"/>
          <w:szCs w:val="24"/>
          <w:lang w:eastAsia="ru-RU"/>
        </w:rPr>
      </w:pPr>
      <w:r w:rsidRPr="00534799">
        <w:rPr>
          <w:rFonts w:ascii="Century Gothic" w:eastAsia="Times New Roman" w:hAnsi="Century Gothic"/>
          <w:color w:val="000000"/>
          <w:sz w:val="24"/>
          <w:szCs w:val="24"/>
          <w:lang w:val="en-US" w:eastAsia="ru-RU"/>
        </w:rPr>
        <w:t>I</w:t>
      </w:r>
      <w:r w:rsidRPr="00534799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. </w:t>
      </w:r>
      <w:r w:rsidRPr="00390E92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Высокоэффективными - </w:t>
      </w:r>
      <w:r w:rsidR="004636AD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13</w:t>
      </w:r>
      <w:r w:rsidR="00621753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программ;</w:t>
      </w:r>
    </w:p>
    <w:p w:rsidR="008E5675" w:rsidRPr="00390E92" w:rsidRDefault="00971BCD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color w:val="000000"/>
          <w:sz w:val="24"/>
          <w:szCs w:val="24"/>
          <w:lang w:eastAsia="ru-RU"/>
        </w:rPr>
      </w:pPr>
      <w:r w:rsidRPr="00390E92">
        <w:rPr>
          <w:rFonts w:ascii="Century Gothic" w:eastAsia="Times New Roman" w:hAnsi="Century Gothic"/>
          <w:color w:val="000000"/>
          <w:sz w:val="24"/>
          <w:szCs w:val="24"/>
          <w:lang w:val="en-US" w:eastAsia="ru-RU"/>
        </w:rPr>
        <w:t>I</w:t>
      </w:r>
      <w:r w:rsidR="008E5675" w:rsidRPr="00390E92">
        <w:rPr>
          <w:rFonts w:ascii="Century Gothic" w:eastAsia="Times New Roman" w:hAnsi="Century Gothic"/>
          <w:color w:val="000000"/>
          <w:sz w:val="24"/>
          <w:szCs w:val="24"/>
          <w:lang w:val="en-US" w:eastAsia="ru-RU"/>
        </w:rPr>
        <w:t>I</w:t>
      </w:r>
      <w:r w:rsidR="008E5675" w:rsidRPr="00390E92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.</w:t>
      </w:r>
      <w:r w:rsidR="00F973E5" w:rsidRPr="00390E92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</w:t>
      </w:r>
      <w:r w:rsidRPr="00390E92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Среднеэффективными </w:t>
      </w:r>
      <w:r w:rsidR="008E5675" w:rsidRPr="00390E92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- </w:t>
      </w:r>
      <w:r w:rsidRPr="00390E92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2</w:t>
      </w:r>
      <w:r w:rsidR="008E5675" w:rsidRPr="00390E92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</w:t>
      </w:r>
      <w:r w:rsidRPr="00390E92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программы</w:t>
      </w:r>
      <w:r w:rsidR="00621753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;</w:t>
      </w:r>
    </w:p>
    <w:p w:rsidR="00971BCD" w:rsidRPr="00390E92" w:rsidRDefault="008E5675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color w:val="000000"/>
          <w:sz w:val="24"/>
          <w:szCs w:val="24"/>
          <w:lang w:eastAsia="ru-RU"/>
        </w:rPr>
      </w:pPr>
      <w:r w:rsidRPr="00390E92">
        <w:rPr>
          <w:rFonts w:ascii="Century Gothic" w:eastAsia="Times New Roman" w:hAnsi="Century Gothic"/>
          <w:color w:val="000000"/>
          <w:sz w:val="24"/>
          <w:szCs w:val="24"/>
          <w:lang w:val="en-US" w:eastAsia="ru-RU"/>
        </w:rPr>
        <w:t>III</w:t>
      </w:r>
      <w:r w:rsidRPr="00390E92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. Низкоэффективн</w:t>
      </w:r>
      <w:r w:rsidR="002406F0" w:rsidRPr="00390E92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ыми</w:t>
      </w:r>
      <w:r w:rsidRPr="00390E92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–</w:t>
      </w:r>
      <w:r w:rsidR="00A10395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</w:t>
      </w:r>
      <w:r w:rsidR="004636AD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8</w:t>
      </w:r>
      <w:r w:rsidR="00D76919" w:rsidRPr="00390E92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программ</w:t>
      </w:r>
      <w:r w:rsidR="00621753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.</w:t>
      </w:r>
      <w:r w:rsidRPr="00390E92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</w:t>
      </w:r>
    </w:p>
    <w:p w:rsidR="00971BCD" w:rsidRPr="00390E92" w:rsidRDefault="008E5675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color w:val="000000"/>
          <w:sz w:val="24"/>
          <w:szCs w:val="24"/>
          <w:lang w:eastAsia="ru-RU"/>
        </w:rPr>
      </w:pPr>
      <w:r w:rsidRPr="00390E92">
        <w:rPr>
          <w:rFonts w:ascii="Century Gothic" w:eastAsia="Times New Roman" w:hAnsi="Century Gothic"/>
          <w:color w:val="000000"/>
          <w:sz w:val="24"/>
          <w:szCs w:val="24"/>
          <w:lang w:val="en-US" w:eastAsia="ru-RU"/>
        </w:rPr>
        <w:lastRenderedPageBreak/>
        <w:t>IV</w:t>
      </w:r>
      <w:r w:rsidRPr="00390E92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. </w:t>
      </w:r>
      <w:r w:rsidR="00CB4E13" w:rsidRPr="00390E92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Неэффективными</w:t>
      </w:r>
      <w:r w:rsidRPr="00390E92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– </w:t>
      </w:r>
      <w:r w:rsidR="009020BC" w:rsidRPr="00390E92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0 программ</w:t>
      </w:r>
      <w:r w:rsidRPr="00390E92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</w:t>
      </w:r>
    </w:p>
    <w:p w:rsidR="003E10CB" w:rsidRDefault="00D434F9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color w:val="FF0000"/>
          <w:sz w:val="24"/>
          <w:szCs w:val="24"/>
          <w:lang w:eastAsia="ru-RU"/>
        </w:rPr>
      </w:pPr>
      <w:r w:rsidRPr="00390E92">
        <w:rPr>
          <w:rFonts w:ascii="Century Gothic" w:eastAsia="Times New Roman" w:hAnsi="Century Gothic"/>
          <w:sz w:val="24"/>
          <w:szCs w:val="24"/>
          <w:lang w:eastAsia="ru-RU"/>
        </w:rPr>
        <w:t xml:space="preserve">В </w:t>
      </w:r>
      <w:proofErr w:type="gramStart"/>
      <w:r w:rsidRPr="00390E92">
        <w:rPr>
          <w:rFonts w:ascii="Century Gothic" w:eastAsia="Times New Roman" w:hAnsi="Century Gothic"/>
          <w:sz w:val="24"/>
          <w:szCs w:val="24"/>
          <w:lang w:eastAsia="ru-RU"/>
        </w:rPr>
        <w:t>результате</w:t>
      </w:r>
      <w:proofErr w:type="gramEnd"/>
      <w:r w:rsidRPr="00390E92">
        <w:rPr>
          <w:rFonts w:ascii="Century Gothic" w:eastAsia="Times New Roman" w:hAnsi="Century Gothic"/>
          <w:sz w:val="24"/>
          <w:szCs w:val="24"/>
          <w:lang w:eastAsia="ru-RU"/>
        </w:rPr>
        <w:t xml:space="preserve"> достаточно высокого уровня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="00185828">
        <w:rPr>
          <w:rFonts w:ascii="Century Gothic" w:eastAsia="Times New Roman" w:hAnsi="Century Gothic"/>
          <w:sz w:val="24"/>
          <w:szCs w:val="24"/>
          <w:lang w:eastAsia="ru-RU"/>
        </w:rPr>
        <w:t xml:space="preserve">фактического 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финансирования </w:t>
      </w:r>
      <w:r w:rsidR="00F973E5">
        <w:rPr>
          <w:rFonts w:ascii="Century Gothic" w:eastAsia="Times New Roman" w:hAnsi="Century Gothic"/>
          <w:sz w:val="24"/>
          <w:szCs w:val="24"/>
          <w:lang w:eastAsia="ru-RU"/>
        </w:rPr>
        <w:t>по сравнению с плановым</w:t>
      </w:r>
      <w:r w:rsidR="00A10395">
        <w:rPr>
          <w:rFonts w:ascii="Century Gothic" w:eastAsia="Times New Roman" w:hAnsi="Century Gothic"/>
          <w:sz w:val="24"/>
          <w:szCs w:val="24"/>
          <w:lang w:eastAsia="ru-RU"/>
        </w:rPr>
        <w:t>и ассигнованиями</w:t>
      </w:r>
      <w:r w:rsidR="00F973E5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>
        <w:rPr>
          <w:rFonts w:ascii="Century Gothic" w:eastAsia="Times New Roman" w:hAnsi="Century Gothic"/>
          <w:sz w:val="24"/>
          <w:szCs w:val="24"/>
          <w:lang w:eastAsia="ru-RU"/>
        </w:rPr>
        <w:t>(</w:t>
      </w:r>
      <w:r w:rsidR="00621753">
        <w:rPr>
          <w:rFonts w:ascii="Century Gothic" w:eastAsia="Times New Roman" w:hAnsi="Century Gothic"/>
          <w:sz w:val="24"/>
          <w:szCs w:val="24"/>
          <w:lang w:eastAsia="ru-RU"/>
        </w:rPr>
        <w:t>97,3</w:t>
      </w:r>
      <w:r>
        <w:rPr>
          <w:rFonts w:ascii="Century Gothic" w:eastAsia="Times New Roman" w:hAnsi="Century Gothic"/>
          <w:sz w:val="24"/>
          <w:szCs w:val="24"/>
          <w:lang w:eastAsia="ru-RU"/>
        </w:rPr>
        <w:t>%)</w:t>
      </w:r>
      <w:r w:rsidR="00185828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>
        <w:rPr>
          <w:rFonts w:ascii="Century Gothic" w:eastAsia="Times New Roman" w:hAnsi="Century Gothic"/>
          <w:sz w:val="24"/>
          <w:szCs w:val="24"/>
          <w:lang w:eastAsia="ru-RU"/>
        </w:rPr>
        <w:t>в</w:t>
      </w:r>
      <w:r w:rsidR="00971BCD">
        <w:rPr>
          <w:rFonts w:ascii="Century Gothic" w:eastAsia="Times New Roman" w:hAnsi="Century Gothic"/>
          <w:sz w:val="24"/>
          <w:szCs w:val="24"/>
          <w:lang w:eastAsia="ru-RU"/>
        </w:rPr>
        <w:t xml:space="preserve"> 202</w:t>
      </w:r>
      <w:r w:rsidR="00EC35F0">
        <w:rPr>
          <w:rFonts w:ascii="Century Gothic" w:eastAsia="Times New Roman" w:hAnsi="Century Gothic"/>
          <w:sz w:val="24"/>
          <w:szCs w:val="24"/>
          <w:lang w:eastAsia="ru-RU"/>
        </w:rPr>
        <w:t>1</w:t>
      </w:r>
      <w:r w:rsidR="00473512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="008E5675" w:rsidRPr="006D6355">
        <w:rPr>
          <w:rFonts w:ascii="Century Gothic" w:eastAsia="Times New Roman" w:hAnsi="Century Gothic"/>
          <w:sz w:val="24"/>
          <w:szCs w:val="24"/>
          <w:lang w:eastAsia="ru-RU"/>
        </w:rPr>
        <w:t>г</w:t>
      </w:r>
      <w:r w:rsidR="00473512">
        <w:rPr>
          <w:rFonts w:ascii="Century Gothic" w:eastAsia="Times New Roman" w:hAnsi="Century Gothic"/>
          <w:sz w:val="24"/>
          <w:szCs w:val="24"/>
          <w:lang w:eastAsia="ru-RU"/>
        </w:rPr>
        <w:t>оду</w:t>
      </w:r>
      <w:r w:rsidR="008E5675"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="00473512">
        <w:rPr>
          <w:rFonts w:ascii="Century Gothic" w:eastAsia="Times New Roman" w:hAnsi="Century Gothic"/>
          <w:sz w:val="24"/>
          <w:szCs w:val="24"/>
          <w:lang w:eastAsia="ru-RU"/>
        </w:rPr>
        <w:t xml:space="preserve">среднее значение исполнения индикаторов программ составило </w:t>
      </w:r>
      <w:r w:rsidR="00971BCD">
        <w:rPr>
          <w:rFonts w:ascii="Century Gothic" w:eastAsia="Times New Roman" w:hAnsi="Century Gothic"/>
          <w:sz w:val="24"/>
          <w:szCs w:val="24"/>
          <w:lang w:eastAsia="ru-RU"/>
        </w:rPr>
        <w:t>9</w:t>
      </w:r>
      <w:r w:rsidR="00EC35F0">
        <w:rPr>
          <w:rFonts w:ascii="Century Gothic" w:eastAsia="Times New Roman" w:hAnsi="Century Gothic"/>
          <w:sz w:val="24"/>
          <w:szCs w:val="24"/>
          <w:lang w:eastAsia="ru-RU"/>
        </w:rPr>
        <w:t>6,36</w:t>
      </w:r>
      <w:r w:rsidR="00971BCD">
        <w:rPr>
          <w:rFonts w:ascii="Century Gothic" w:eastAsia="Times New Roman" w:hAnsi="Century Gothic"/>
          <w:sz w:val="24"/>
          <w:szCs w:val="24"/>
          <w:lang w:eastAsia="ru-RU"/>
        </w:rPr>
        <w:t xml:space="preserve"> %.</w:t>
      </w:r>
      <w:r w:rsidR="00EC35F0">
        <w:rPr>
          <w:rFonts w:ascii="Century Gothic" w:eastAsia="Times New Roman" w:hAnsi="Century Gothic"/>
          <w:sz w:val="24"/>
          <w:szCs w:val="24"/>
          <w:lang w:eastAsia="ru-RU"/>
        </w:rPr>
        <w:t xml:space="preserve"> (в 2020 году – 94,95%). </w:t>
      </w:r>
    </w:p>
    <w:p w:rsidR="008E5675" w:rsidRPr="006D6355" w:rsidRDefault="00976193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bCs/>
          <w:sz w:val="24"/>
          <w:szCs w:val="24"/>
          <w:lang w:eastAsia="ru-RU"/>
        </w:rPr>
      </w:pP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Степень достижения всех индикаторов по каждой программе представлена в </w:t>
      </w:r>
      <w:r w:rsidRPr="00534799">
        <w:rPr>
          <w:rFonts w:ascii="Century Gothic" w:eastAsia="Times New Roman" w:hAnsi="Century Gothic"/>
          <w:sz w:val="24"/>
          <w:szCs w:val="24"/>
          <w:lang w:eastAsia="ru-RU"/>
        </w:rPr>
        <w:t xml:space="preserve">Приложении </w:t>
      </w:r>
      <w:r w:rsidR="00EC35F0">
        <w:rPr>
          <w:rFonts w:ascii="Century Gothic" w:eastAsia="Times New Roman" w:hAnsi="Century Gothic"/>
          <w:sz w:val="24"/>
          <w:szCs w:val="24"/>
          <w:lang w:eastAsia="ru-RU"/>
        </w:rPr>
        <w:t>4</w:t>
      </w:r>
      <w:r w:rsidRPr="00534799">
        <w:rPr>
          <w:rFonts w:ascii="Century Gothic" w:eastAsia="Times New Roman" w:hAnsi="Century Gothic"/>
          <w:sz w:val="24"/>
          <w:szCs w:val="24"/>
          <w:lang w:eastAsia="ru-RU"/>
        </w:rPr>
        <w:t>.</w:t>
      </w:r>
    </w:p>
    <w:p w:rsidR="00902946" w:rsidRDefault="00902946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b/>
          <w:color w:val="000000"/>
          <w:sz w:val="24"/>
          <w:szCs w:val="24"/>
          <w:lang w:eastAsia="ru-RU"/>
        </w:rPr>
      </w:pPr>
    </w:p>
    <w:p w:rsidR="008E5675" w:rsidRPr="0084493B" w:rsidRDefault="008E5675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b/>
          <w:color w:val="000000"/>
          <w:sz w:val="24"/>
          <w:szCs w:val="24"/>
          <w:lang w:eastAsia="ru-RU"/>
        </w:rPr>
      </w:pPr>
      <w:r w:rsidRPr="0084493B">
        <w:rPr>
          <w:rFonts w:ascii="Century Gothic" w:eastAsia="Times New Roman" w:hAnsi="Century Gothic"/>
          <w:b/>
          <w:color w:val="000000"/>
          <w:sz w:val="24"/>
          <w:szCs w:val="24"/>
          <w:lang w:eastAsia="ru-RU"/>
        </w:rPr>
        <w:t>Выводы и предложения по результатам анализа реализации программ:</w:t>
      </w:r>
    </w:p>
    <w:p w:rsidR="008E5675" w:rsidRPr="0084493B" w:rsidRDefault="008E5675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i/>
          <w:color w:val="000000"/>
          <w:sz w:val="24"/>
          <w:szCs w:val="24"/>
          <w:lang w:eastAsia="ru-RU"/>
        </w:rPr>
      </w:pPr>
      <w:r w:rsidRPr="0084493B">
        <w:rPr>
          <w:rFonts w:ascii="Century Gothic" w:eastAsia="Times New Roman" w:hAnsi="Century Gothic"/>
          <w:i/>
          <w:color w:val="000000"/>
          <w:sz w:val="24"/>
          <w:szCs w:val="24"/>
          <w:lang w:eastAsia="ru-RU"/>
        </w:rPr>
        <w:t>Общие выводы и предложения:</w:t>
      </w:r>
    </w:p>
    <w:p w:rsidR="00E1504B" w:rsidRPr="0084493B" w:rsidRDefault="008E5675" w:rsidP="00E1504B">
      <w:pPr>
        <w:spacing w:after="0" w:line="240" w:lineRule="auto"/>
        <w:ind w:firstLine="567"/>
        <w:jc w:val="both"/>
        <w:rPr>
          <w:rFonts w:ascii="Century Gothic" w:eastAsia="Times New Roman" w:hAnsi="Century Gothic"/>
          <w:color w:val="000000"/>
          <w:sz w:val="24"/>
          <w:szCs w:val="24"/>
          <w:lang w:eastAsia="ru-RU"/>
        </w:rPr>
      </w:pPr>
      <w:r w:rsidRPr="0084493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1.</w:t>
      </w:r>
      <w:r w:rsid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</w:t>
      </w:r>
      <w:r w:rsidR="00E1504B" w:rsidRPr="0084493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В 20</w:t>
      </w:r>
      <w:r w:rsidR="00971BCD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2</w:t>
      </w:r>
      <w:r w:rsidR="00315CDC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1</w:t>
      </w:r>
      <w:r w:rsidR="00E1504B" w:rsidRPr="0084493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году </w:t>
      </w:r>
      <w:r w:rsid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фиксируется </w:t>
      </w:r>
      <w:r w:rsidR="00971BCD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незначительный разрыв </w:t>
      </w:r>
      <w:r w:rsid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(</w:t>
      </w:r>
      <w:r w:rsidR="00315CDC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2021 год – 3,2 %, </w:t>
      </w:r>
      <w:r w:rsidR="00971BCD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2020 год - 3,76%, 2019 и 2018 год – 3%</w:t>
      </w:r>
      <w:r w:rsid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) между запланированными в уточненном бюджете ассигнованиями и фактическим финансированием программ, что позволяет сделать вывод о </w:t>
      </w:r>
      <w:r w:rsidR="00567ADD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стабильно высоком</w:t>
      </w:r>
      <w:r w:rsid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уровн</w:t>
      </w:r>
      <w:r w:rsidR="00567ADD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е</w:t>
      </w:r>
      <w:r w:rsid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планирования </w:t>
      </w:r>
      <w:r w:rsidR="00567ADD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и </w:t>
      </w:r>
      <w:r w:rsid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реалистичности</w:t>
      </w:r>
      <w:r w:rsidR="00567ADD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программ</w:t>
      </w:r>
      <w:r w:rsidR="00A10395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.</w:t>
      </w:r>
    </w:p>
    <w:p w:rsidR="008E5675" w:rsidRPr="0084493B" w:rsidRDefault="00B93F5F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color w:val="000000"/>
          <w:sz w:val="24"/>
          <w:szCs w:val="24"/>
          <w:lang w:eastAsia="ru-RU"/>
        </w:rPr>
      </w:pPr>
      <w:r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2</w:t>
      </w:r>
      <w:r w:rsidR="008E5675" w:rsidRPr="0084493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. </w:t>
      </w:r>
      <w:r w:rsidRP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Коэффициент</w:t>
      </w:r>
      <w:r w:rsidR="008E5675" w:rsidRP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привлечен</w:t>
      </w:r>
      <w:r w:rsidRP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ия</w:t>
      </w:r>
      <w:r w:rsidR="008E5675" w:rsidRP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средств из </w:t>
      </w:r>
      <w:r w:rsidRP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вышестоящих бюджетов составил </w:t>
      </w:r>
      <w:r w:rsidR="009C5024" w:rsidRP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2,</w:t>
      </w:r>
      <w:r w:rsidR="00315CDC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9, </w:t>
      </w:r>
      <w:r w:rsidR="008E5675" w:rsidRP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что говорит о</w:t>
      </w:r>
      <w:r w:rsidR="00FF553A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б</w:t>
      </w:r>
      <w:r w:rsidR="003E10CB" w:rsidRP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</w:t>
      </w:r>
      <w:r w:rsidR="00A10395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устойчивой</w:t>
      </w:r>
      <w:r w:rsidR="00E1504B" w:rsidRP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тенденции</w:t>
      </w:r>
      <w:r w:rsidR="008E5675" w:rsidRP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</w:t>
      </w:r>
      <w:r w:rsidRP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снижени</w:t>
      </w:r>
      <w:r w:rsidR="00E1504B" w:rsidRP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я</w:t>
      </w:r>
      <w:r w:rsidR="00B101D6" w:rsidRP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</w:t>
      </w:r>
      <w:r w:rsidRP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самостоятельности городского бюджета, снижении возможностей для принятия управленческих решений</w:t>
      </w:r>
      <w:r w:rsidR="00B101D6" w:rsidRP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именно орг</w:t>
      </w:r>
      <w:r w:rsidR="009C5024" w:rsidRP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а</w:t>
      </w:r>
      <w:r w:rsidR="00B101D6" w:rsidRP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нами местного самоуправления</w:t>
      </w:r>
      <w:r w:rsidR="00FF553A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. </w:t>
      </w:r>
    </w:p>
    <w:p w:rsidR="004162AC" w:rsidRDefault="00424011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3</w:t>
      </w:r>
      <w:r w:rsidR="008E5675" w:rsidRPr="0084493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. Основными критериями методики оценки эффективности </w:t>
      </w:r>
      <w:r w:rsidR="00D434F9" w:rsidRPr="0084493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М</w:t>
      </w:r>
      <w:r w:rsidR="008E5675" w:rsidRPr="0084493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П являются выполнение запланированных мероприятий</w:t>
      </w:r>
      <w:r w:rsidR="00CB4E13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, достижение значений индикаторов</w:t>
      </w:r>
      <w:r w:rsidR="008E5675" w:rsidRPr="0084493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и уровень финансового обеспечения </w:t>
      </w:r>
      <w:r w:rsidR="00D434F9" w:rsidRPr="0084493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М</w:t>
      </w:r>
      <w:r w:rsidR="008E5675" w:rsidRPr="0084493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П. </w:t>
      </w:r>
      <w:r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В 20</w:t>
      </w:r>
      <w:r w:rsidR="00971BCD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2</w:t>
      </w:r>
      <w:r w:rsidR="00315CDC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1</w:t>
      </w:r>
      <w:r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году как и </w:t>
      </w:r>
      <w:r w:rsid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ранее,</w:t>
      </w:r>
      <w:r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в</w:t>
      </w:r>
      <w:r w:rsidR="008E5675" w:rsidRPr="0084493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ысокие оценки по этим критериям получают, как правило, программы, разработка и реализация которых является одним из условий </w:t>
      </w:r>
      <w:r w:rsidR="008E5675" w:rsidRPr="0084493B">
        <w:rPr>
          <w:rFonts w:ascii="Century Gothic" w:eastAsia="Times New Roman" w:hAnsi="Century Gothic"/>
          <w:sz w:val="24"/>
          <w:szCs w:val="24"/>
          <w:lang w:eastAsia="ru-RU"/>
        </w:rPr>
        <w:t xml:space="preserve">обязательного софинансирования к средствам вышестоящих бюджетов. </w:t>
      </w:r>
    </w:p>
    <w:p w:rsidR="008E5675" w:rsidRPr="0084493B" w:rsidRDefault="00E64D57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b/>
          <w:color w:val="000000"/>
          <w:sz w:val="24"/>
          <w:szCs w:val="24"/>
          <w:lang w:eastAsia="ru-RU"/>
        </w:rPr>
      </w:pPr>
      <w:r>
        <w:rPr>
          <w:rFonts w:ascii="Century Gothic" w:eastAsia="Times New Roman" w:hAnsi="Century Gothic"/>
          <w:sz w:val="24"/>
          <w:szCs w:val="24"/>
          <w:lang w:eastAsia="ru-RU"/>
        </w:rPr>
        <w:t>Достижение р</w:t>
      </w:r>
      <w:r w:rsidR="004162AC">
        <w:rPr>
          <w:rFonts w:ascii="Century Gothic" w:eastAsia="Times New Roman" w:hAnsi="Century Gothic"/>
          <w:sz w:val="24"/>
          <w:szCs w:val="24"/>
          <w:lang w:eastAsia="ru-RU"/>
        </w:rPr>
        <w:t>яд</w:t>
      </w:r>
      <w:r>
        <w:rPr>
          <w:rFonts w:ascii="Century Gothic" w:eastAsia="Times New Roman" w:hAnsi="Century Gothic"/>
          <w:sz w:val="24"/>
          <w:szCs w:val="24"/>
          <w:lang w:eastAsia="ru-RU"/>
        </w:rPr>
        <w:t>а</w:t>
      </w:r>
      <w:r w:rsidR="004162AC">
        <w:rPr>
          <w:rFonts w:ascii="Century Gothic" w:eastAsia="Times New Roman" w:hAnsi="Century Gothic"/>
          <w:sz w:val="24"/>
          <w:szCs w:val="24"/>
          <w:lang w:eastAsia="ru-RU"/>
        </w:rPr>
        <w:t xml:space="preserve"> принятых в 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программах </w:t>
      </w:r>
      <w:r w:rsidR="004162AC">
        <w:rPr>
          <w:rFonts w:ascii="Century Gothic" w:eastAsia="Times New Roman" w:hAnsi="Century Gothic"/>
          <w:sz w:val="24"/>
          <w:szCs w:val="24"/>
          <w:lang w:eastAsia="ru-RU"/>
        </w:rPr>
        <w:t>индикаторов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="00B101D6">
        <w:rPr>
          <w:rFonts w:ascii="Century Gothic" w:eastAsia="Times New Roman" w:hAnsi="Century Gothic"/>
          <w:sz w:val="24"/>
          <w:szCs w:val="24"/>
          <w:lang w:eastAsia="ru-RU"/>
        </w:rPr>
        <w:t xml:space="preserve">лишь </w:t>
      </w:r>
      <w:r>
        <w:rPr>
          <w:rFonts w:ascii="Century Gothic" w:eastAsia="Times New Roman" w:hAnsi="Century Gothic"/>
          <w:sz w:val="24"/>
          <w:szCs w:val="24"/>
          <w:lang w:eastAsia="ru-RU"/>
        </w:rPr>
        <w:t>косвенно зависит от выполнения мероприятий программ.</w:t>
      </w:r>
    </w:p>
    <w:p w:rsidR="008E5675" w:rsidRDefault="001244EA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>
        <w:rPr>
          <w:rFonts w:ascii="Century Gothic" w:eastAsia="Times New Roman" w:hAnsi="Century Gothic"/>
          <w:sz w:val="24"/>
          <w:szCs w:val="24"/>
          <w:lang w:eastAsia="ru-RU"/>
        </w:rPr>
        <w:t>4</w:t>
      </w:r>
      <w:r w:rsidR="008E5675" w:rsidRPr="0084493B">
        <w:rPr>
          <w:rFonts w:ascii="Century Gothic" w:eastAsia="Times New Roman" w:hAnsi="Century Gothic"/>
          <w:sz w:val="24"/>
          <w:szCs w:val="24"/>
          <w:lang w:eastAsia="ru-RU"/>
        </w:rPr>
        <w:t xml:space="preserve">. В </w:t>
      </w:r>
      <w:proofErr w:type="gramStart"/>
      <w:r w:rsidR="008E5675" w:rsidRPr="0084493B">
        <w:rPr>
          <w:rFonts w:ascii="Century Gothic" w:eastAsia="Times New Roman" w:hAnsi="Century Gothic"/>
          <w:sz w:val="24"/>
          <w:szCs w:val="24"/>
          <w:lang w:eastAsia="ru-RU"/>
        </w:rPr>
        <w:t>целях</w:t>
      </w:r>
      <w:proofErr w:type="gramEnd"/>
      <w:r w:rsidR="008E5675" w:rsidRPr="0084493B">
        <w:rPr>
          <w:rFonts w:ascii="Century Gothic" w:eastAsia="Times New Roman" w:hAnsi="Century Gothic"/>
          <w:sz w:val="24"/>
          <w:szCs w:val="24"/>
          <w:lang w:eastAsia="ru-RU"/>
        </w:rPr>
        <w:t xml:space="preserve"> повышения эффективности реализации программ в следующем плановом периоде необходимо:</w:t>
      </w:r>
    </w:p>
    <w:p w:rsidR="00FC1277" w:rsidRDefault="001244EA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>
        <w:rPr>
          <w:rFonts w:ascii="Century Gothic" w:eastAsia="Times New Roman" w:hAnsi="Century Gothic"/>
          <w:sz w:val="24"/>
          <w:szCs w:val="24"/>
          <w:lang w:eastAsia="ru-RU"/>
        </w:rPr>
        <w:t>4</w:t>
      </w:r>
      <w:r w:rsidR="00FC1277">
        <w:rPr>
          <w:rFonts w:ascii="Century Gothic" w:eastAsia="Times New Roman" w:hAnsi="Century Gothic"/>
          <w:sz w:val="24"/>
          <w:szCs w:val="24"/>
          <w:lang w:eastAsia="ru-RU"/>
        </w:rPr>
        <w:t>.1. ответственным исполнителям программ своевременно приводить программы в соответствие с утвержденным бюджетом городского округа</w:t>
      </w:r>
      <w:r w:rsidR="00315CDC">
        <w:rPr>
          <w:rFonts w:ascii="Century Gothic" w:eastAsia="Times New Roman" w:hAnsi="Century Gothic"/>
          <w:sz w:val="24"/>
          <w:szCs w:val="24"/>
          <w:lang w:eastAsia="ru-RU"/>
        </w:rPr>
        <w:t xml:space="preserve"> город Рыбинск Ярославской области </w:t>
      </w:r>
      <w:r w:rsidR="00FC1277">
        <w:rPr>
          <w:rFonts w:ascii="Century Gothic" w:eastAsia="Times New Roman" w:hAnsi="Century Gothic"/>
          <w:sz w:val="24"/>
          <w:szCs w:val="24"/>
          <w:lang w:eastAsia="ru-RU"/>
        </w:rPr>
        <w:t>и изменениями, вносимыми в него;</w:t>
      </w:r>
    </w:p>
    <w:p w:rsidR="00FC1277" w:rsidRPr="0084493B" w:rsidRDefault="001244EA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>
        <w:rPr>
          <w:rFonts w:ascii="Century Gothic" w:eastAsia="Times New Roman" w:hAnsi="Century Gothic"/>
          <w:sz w:val="24"/>
          <w:szCs w:val="24"/>
          <w:lang w:eastAsia="ru-RU"/>
        </w:rPr>
        <w:t>4</w:t>
      </w:r>
      <w:r w:rsidR="00FC1277">
        <w:rPr>
          <w:rFonts w:ascii="Century Gothic" w:eastAsia="Times New Roman" w:hAnsi="Century Gothic"/>
          <w:sz w:val="24"/>
          <w:szCs w:val="24"/>
          <w:lang w:eastAsia="ru-RU"/>
        </w:rPr>
        <w:t>.2. ответственным исполнителям программ предоставлять в управление экономического развития и инвестиций максимально точную отчетную информацию по фактическому финансированию мероприятий программ, соответствующую отчетной информации, предоставляемой в департамент финансов;</w:t>
      </w:r>
    </w:p>
    <w:p w:rsidR="00385140" w:rsidRDefault="001244EA" w:rsidP="001F0333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>
        <w:rPr>
          <w:rFonts w:ascii="Century Gothic" w:eastAsia="Times New Roman" w:hAnsi="Century Gothic"/>
          <w:sz w:val="24"/>
          <w:szCs w:val="24"/>
          <w:lang w:eastAsia="ru-RU"/>
        </w:rPr>
        <w:t>4</w:t>
      </w:r>
      <w:r w:rsidR="001F0333" w:rsidRPr="0084493B">
        <w:rPr>
          <w:rFonts w:ascii="Century Gothic" w:eastAsia="Times New Roman" w:hAnsi="Century Gothic"/>
          <w:sz w:val="24"/>
          <w:szCs w:val="24"/>
          <w:lang w:eastAsia="ru-RU"/>
        </w:rPr>
        <w:t>.</w:t>
      </w:r>
      <w:r w:rsidR="00971BCD">
        <w:rPr>
          <w:rFonts w:ascii="Century Gothic" w:eastAsia="Times New Roman" w:hAnsi="Century Gothic"/>
          <w:sz w:val="24"/>
          <w:szCs w:val="24"/>
          <w:lang w:eastAsia="ru-RU"/>
        </w:rPr>
        <w:t>3</w:t>
      </w:r>
      <w:r w:rsidR="001F0333" w:rsidRPr="0084493B">
        <w:rPr>
          <w:rFonts w:ascii="Century Gothic" w:eastAsia="Times New Roman" w:hAnsi="Century Gothic"/>
          <w:sz w:val="24"/>
          <w:szCs w:val="24"/>
          <w:lang w:eastAsia="ru-RU"/>
        </w:rPr>
        <w:t xml:space="preserve">. </w:t>
      </w:r>
      <w:r w:rsidR="00385140">
        <w:rPr>
          <w:rFonts w:ascii="Century Gothic" w:eastAsia="Times New Roman" w:hAnsi="Century Gothic"/>
          <w:sz w:val="24"/>
          <w:szCs w:val="24"/>
          <w:lang w:eastAsia="ru-RU"/>
        </w:rPr>
        <w:t>в</w:t>
      </w:r>
      <w:r w:rsidR="001F0333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="00971BCD">
        <w:rPr>
          <w:rFonts w:ascii="Century Gothic" w:eastAsia="Times New Roman" w:hAnsi="Century Gothic"/>
          <w:sz w:val="24"/>
          <w:szCs w:val="24"/>
          <w:lang w:eastAsia="ru-RU"/>
        </w:rPr>
        <w:t>202</w:t>
      </w:r>
      <w:r w:rsidR="00315CDC">
        <w:rPr>
          <w:rFonts w:ascii="Century Gothic" w:eastAsia="Times New Roman" w:hAnsi="Century Gothic"/>
          <w:sz w:val="24"/>
          <w:szCs w:val="24"/>
          <w:lang w:eastAsia="ru-RU"/>
        </w:rPr>
        <w:t>2</w:t>
      </w:r>
      <w:r w:rsidR="001F0333">
        <w:rPr>
          <w:rFonts w:ascii="Century Gothic" w:eastAsia="Times New Roman" w:hAnsi="Century Gothic"/>
          <w:sz w:val="24"/>
          <w:szCs w:val="24"/>
          <w:lang w:eastAsia="ru-RU"/>
        </w:rPr>
        <w:t xml:space="preserve"> году </w:t>
      </w:r>
      <w:r w:rsidR="00B101D6">
        <w:rPr>
          <w:rFonts w:ascii="Century Gothic" w:eastAsia="Times New Roman" w:hAnsi="Century Gothic"/>
          <w:sz w:val="24"/>
          <w:szCs w:val="24"/>
          <w:lang w:eastAsia="ru-RU"/>
        </w:rPr>
        <w:t>планировать</w:t>
      </w:r>
      <w:r w:rsidR="001F0333" w:rsidRPr="0084493B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="001F0333">
        <w:rPr>
          <w:rFonts w:ascii="Century Gothic" w:eastAsia="Times New Roman" w:hAnsi="Century Gothic"/>
          <w:sz w:val="24"/>
          <w:szCs w:val="24"/>
          <w:lang w:eastAsia="ru-RU"/>
        </w:rPr>
        <w:t xml:space="preserve">индикаторы программ, </w:t>
      </w:r>
      <w:r w:rsidR="00B101D6">
        <w:rPr>
          <w:rFonts w:ascii="Century Gothic" w:eastAsia="Times New Roman" w:hAnsi="Century Gothic"/>
          <w:sz w:val="24"/>
          <w:szCs w:val="24"/>
          <w:lang w:eastAsia="ru-RU"/>
        </w:rPr>
        <w:t xml:space="preserve">с одной стороны максимально </w:t>
      </w:r>
      <w:r w:rsidR="001F0333">
        <w:rPr>
          <w:rFonts w:ascii="Century Gothic" w:eastAsia="Times New Roman" w:hAnsi="Century Gothic"/>
          <w:sz w:val="24"/>
          <w:szCs w:val="24"/>
          <w:lang w:eastAsia="ru-RU"/>
        </w:rPr>
        <w:t xml:space="preserve">приведя их в соответствие </w:t>
      </w:r>
      <w:r w:rsidR="00AC47D8">
        <w:rPr>
          <w:rFonts w:ascii="Century Gothic" w:eastAsia="Times New Roman" w:hAnsi="Century Gothic"/>
          <w:sz w:val="24"/>
          <w:szCs w:val="24"/>
          <w:lang w:eastAsia="ru-RU"/>
        </w:rPr>
        <w:t xml:space="preserve">с индикаторами </w:t>
      </w:r>
      <w:r w:rsidR="00E15BE5">
        <w:rPr>
          <w:rFonts w:ascii="Century Gothic" w:eastAsia="Times New Roman" w:hAnsi="Century Gothic"/>
          <w:sz w:val="24"/>
          <w:szCs w:val="24"/>
          <w:lang w:eastAsia="ru-RU"/>
        </w:rPr>
        <w:t>Стратегии</w:t>
      </w:r>
      <w:r w:rsidR="00AC47D8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="001F0333" w:rsidRPr="0084493B">
        <w:rPr>
          <w:rFonts w:ascii="Century Gothic" w:eastAsia="Times New Roman" w:hAnsi="Century Gothic"/>
          <w:sz w:val="24"/>
          <w:szCs w:val="24"/>
          <w:lang w:eastAsia="ru-RU"/>
        </w:rPr>
        <w:t>социально-экономического развития городского округа</w:t>
      </w:r>
      <w:r w:rsidR="00AC47D8">
        <w:rPr>
          <w:rFonts w:ascii="Century Gothic" w:eastAsia="Times New Roman" w:hAnsi="Century Gothic"/>
          <w:sz w:val="24"/>
          <w:szCs w:val="24"/>
          <w:lang w:eastAsia="ru-RU"/>
        </w:rPr>
        <w:t>,</w:t>
      </w:r>
      <w:r w:rsidR="00385140">
        <w:rPr>
          <w:rFonts w:ascii="Century Gothic" w:eastAsia="Times New Roman" w:hAnsi="Century Gothic"/>
          <w:sz w:val="24"/>
          <w:szCs w:val="24"/>
          <w:lang w:eastAsia="ru-RU"/>
        </w:rPr>
        <w:t xml:space="preserve"> с другой стороны в планировании индикаторов исходить из </w:t>
      </w:r>
      <w:proofErr w:type="gramStart"/>
      <w:r w:rsidR="00385140">
        <w:rPr>
          <w:rFonts w:ascii="Century Gothic" w:eastAsia="Times New Roman" w:hAnsi="Century Gothic"/>
          <w:sz w:val="24"/>
          <w:szCs w:val="24"/>
          <w:lang w:eastAsia="ru-RU"/>
        </w:rPr>
        <w:t>реалистичных возможностей</w:t>
      </w:r>
      <w:proofErr w:type="gramEnd"/>
      <w:r w:rsidR="00385140">
        <w:rPr>
          <w:rFonts w:ascii="Century Gothic" w:eastAsia="Times New Roman" w:hAnsi="Century Gothic"/>
          <w:sz w:val="24"/>
          <w:szCs w:val="24"/>
          <w:lang w:eastAsia="ru-RU"/>
        </w:rPr>
        <w:t xml:space="preserve"> финансирования бюджета городского округа.</w:t>
      </w:r>
    </w:p>
    <w:p w:rsidR="00385140" w:rsidRPr="0084493B" w:rsidRDefault="001244EA" w:rsidP="00385140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>
        <w:rPr>
          <w:rFonts w:ascii="Century Gothic" w:eastAsia="Times New Roman" w:hAnsi="Century Gothic"/>
          <w:sz w:val="24"/>
          <w:szCs w:val="24"/>
          <w:lang w:eastAsia="ru-RU"/>
        </w:rPr>
        <w:t>4</w:t>
      </w:r>
      <w:r w:rsidR="00385140" w:rsidRPr="0084493B">
        <w:rPr>
          <w:rFonts w:ascii="Century Gothic" w:eastAsia="Times New Roman" w:hAnsi="Century Gothic"/>
          <w:sz w:val="24"/>
          <w:szCs w:val="24"/>
          <w:lang w:eastAsia="ru-RU"/>
        </w:rPr>
        <w:t>.</w:t>
      </w:r>
      <w:r w:rsidR="00971BCD">
        <w:rPr>
          <w:rFonts w:ascii="Century Gothic" w:eastAsia="Times New Roman" w:hAnsi="Century Gothic"/>
          <w:sz w:val="24"/>
          <w:szCs w:val="24"/>
          <w:lang w:eastAsia="ru-RU"/>
        </w:rPr>
        <w:t>4</w:t>
      </w:r>
      <w:r w:rsidR="00385140" w:rsidRPr="0084493B">
        <w:rPr>
          <w:rFonts w:ascii="Century Gothic" w:eastAsia="Times New Roman" w:hAnsi="Century Gothic"/>
          <w:sz w:val="24"/>
          <w:szCs w:val="24"/>
          <w:lang w:eastAsia="ru-RU"/>
        </w:rPr>
        <w:t xml:space="preserve">. формулировать индикаторы программ таким образом, чтобы они: </w:t>
      </w:r>
    </w:p>
    <w:p w:rsidR="00385140" w:rsidRPr="0084493B" w:rsidRDefault="00385140" w:rsidP="00385140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84493B">
        <w:rPr>
          <w:rFonts w:ascii="Century Gothic" w:eastAsia="Times New Roman" w:hAnsi="Century Gothic"/>
          <w:sz w:val="24"/>
          <w:szCs w:val="24"/>
          <w:lang w:eastAsia="ru-RU"/>
        </w:rPr>
        <w:t xml:space="preserve">а) максимально объективно отражали динамику 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конкретных </w:t>
      </w:r>
      <w:r w:rsidRPr="0084493B">
        <w:rPr>
          <w:rFonts w:ascii="Century Gothic" w:eastAsia="Times New Roman" w:hAnsi="Century Gothic"/>
          <w:sz w:val="24"/>
          <w:szCs w:val="24"/>
          <w:lang w:eastAsia="ru-RU"/>
        </w:rPr>
        <w:t xml:space="preserve">улучшений социально-экономического состояния в сфере реализации программы, </w:t>
      </w:r>
    </w:p>
    <w:p w:rsidR="00385140" w:rsidRPr="0084493B" w:rsidRDefault="00385140" w:rsidP="00385140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proofErr w:type="gramStart"/>
      <w:r w:rsidRPr="0084493B">
        <w:rPr>
          <w:rFonts w:ascii="Century Gothic" w:eastAsia="Times New Roman" w:hAnsi="Century Gothic"/>
          <w:sz w:val="24"/>
          <w:szCs w:val="24"/>
          <w:lang w:eastAsia="ru-RU"/>
        </w:rPr>
        <w:t xml:space="preserve">б) максимально соответствовали набору показателей оценки эффективности деятельности органов местного самоуправления, иных федеральных, региональных, отраслевых показателей (Указ Президента </w:t>
      </w:r>
      <w:r w:rsidRPr="0084493B">
        <w:rPr>
          <w:rFonts w:ascii="Century Gothic" w:eastAsia="Times New Roman" w:hAnsi="Century Gothic"/>
          <w:sz w:val="24"/>
          <w:szCs w:val="24"/>
          <w:lang w:eastAsia="ru-RU"/>
        </w:rPr>
        <w:lastRenderedPageBreak/>
        <w:t>Российской Федерации от 28.04.2008 №607 «Об оценке эффективности деятельности органов местного самоуправления городских округов и муниципальных районов», Указ Президента Российской Федерац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ии </w:t>
      </w:r>
      <w:r w:rsidRPr="0084493B">
        <w:rPr>
          <w:rFonts w:ascii="Century Gothic" w:eastAsia="Times New Roman" w:hAnsi="Century Gothic"/>
          <w:sz w:val="24"/>
          <w:szCs w:val="24"/>
          <w:lang w:eastAsia="ru-RU"/>
        </w:rPr>
        <w:t xml:space="preserve">от </w:t>
      </w:r>
      <w:r w:rsidR="00E15BE5" w:rsidRPr="00E15BE5">
        <w:rPr>
          <w:rFonts w:ascii="Century Gothic" w:eastAsia="Times New Roman" w:hAnsi="Century Gothic"/>
          <w:sz w:val="24"/>
          <w:szCs w:val="24"/>
          <w:lang w:eastAsia="ru-RU"/>
        </w:rPr>
        <w:t>07.05.2018 № 204 «О национальных целях и стратегических задачах развития Российской Федерации на период до 2024 года»</w:t>
      </w:r>
      <w:r w:rsidRPr="0084493B">
        <w:rPr>
          <w:rFonts w:ascii="Century Gothic" w:eastAsia="Times New Roman" w:hAnsi="Century Gothic"/>
          <w:sz w:val="24"/>
          <w:szCs w:val="24"/>
          <w:lang w:eastAsia="ru-RU"/>
        </w:rPr>
        <w:t>, иные отраслевые нормативные правовые</w:t>
      </w:r>
      <w:proofErr w:type="gramEnd"/>
      <w:r w:rsidRPr="0084493B">
        <w:rPr>
          <w:rFonts w:ascii="Century Gothic" w:eastAsia="Times New Roman" w:hAnsi="Century Gothic"/>
          <w:sz w:val="24"/>
          <w:szCs w:val="24"/>
          <w:lang w:eastAsia="ru-RU"/>
        </w:rPr>
        <w:t xml:space="preserve"> акты федерального и регионального уровня);</w:t>
      </w:r>
    </w:p>
    <w:p w:rsidR="001F0333" w:rsidRDefault="001244EA" w:rsidP="001F0333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>
        <w:rPr>
          <w:rFonts w:ascii="Century Gothic" w:eastAsia="Times New Roman" w:hAnsi="Century Gothic"/>
          <w:sz w:val="24"/>
          <w:szCs w:val="24"/>
          <w:lang w:eastAsia="ru-RU"/>
        </w:rPr>
        <w:t>4</w:t>
      </w:r>
      <w:r w:rsidR="00385140">
        <w:rPr>
          <w:rFonts w:ascii="Century Gothic" w:eastAsia="Times New Roman" w:hAnsi="Century Gothic"/>
          <w:sz w:val="24"/>
          <w:szCs w:val="24"/>
          <w:lang w:eastAsia="ru-RU"/>
        </w:rPr>
        <w:t>.</w:t>
      </w:r>
      <w:r w:rsidR="00971BCD">
        <w:rPr>
          <w:rFonts w:ascii="Century Gothic" w:eastAsia="Times New Roman" w:hAnsi="Century Gothic"/>
          <w:sz w:val="24"/>
          <w:szCs w:val="24"/>
          <w:lang w:eastAsia="ru-RU"/>
        </w:rPr>
        <w:t>5</w:t>
      </w:r>
      <w:r w:rsidR="00385140">
        <w:rPr>
          <w:rFonts w:ascii="Century Gothic" w:eastAsia="Times New Roman" w:hAnsi="Century Gothic"/>
          <w:sz w:val="24"/>
          <w:szCs w:val="24"/>
          <w:lang w:eastAsia="ru-RU"/>
        </w:rPr>
        <w:t>.</w:t>
      </w:r>
      <w:r w:rsidR="001F0333" w:rsidRPr="0084493B">
        <w:rPr>
          <w:rFonts w:ascii="Century Gothic" w:eastAsia="Times New Roman" w:hAnsi="Century Gothic"/>
          <w:sz w:val="24"/>
          <w:szCs w:val="24"/>
          <w:lang w:eastAsia="ru-RU"/>
        </w:rPr>
        <w:t xml:space="preserve"> максимально точно сбалансировать ограниченное бюджетное финансирование и заявленные приоритеты</w:t>
      </w:r>
      <w:r w:rsidR="00AC47D8">
        <w:rPr>
          <w:rFonts w:ascii="Century Gothic" w:eastAsia="Times New Roman" w:hAnsi="Century Gothic"/>
          <w:sz w:val="24"/>
          <w:szCs w:val="24"/>
          <w:lang w:eastAsia="ru-RU"/>
        </w:rPr>
        <w:t xml:space="preserve"> программ</w:t>
      </w:r>
      <w:r w:rsidR="001F0333" w:rsidRPr="0084493B">
        <w:rPr>
          <w:rFonts w:ascii="Century Gothic" w:eastAsia="Times New Roman" w:hAnsi="Century Gothic"/>
          <w:sz w:val="24"/>
          <w:szCs w:val="24"/>
          <w:lang w:eastAsia="ru-RU"/>
        </w:rPr>
        <w:t>;</w:t>
      </w:r>
    </w:p>
    <w:p w:rsidR="00385140" w:rsidRPr="0084493B" w:rsidRDefault="001244EA" w:rsidP="001F0333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>
        <w:rPr>
          <w:rFonts w:ascii="Century Gothic" w:eastAsia="Times New Roman" w:hAnsi="Century Gothic"/>
          <w:sz w:val="24"/>
          <w:szCs w:val="24"/>
          <w:lang w:eastAsia="ru-RU"/>
        </w:rPr>
        <w:t>4</w:t>
      </w:r>
      <w:r w:rsidR="00385140">
        <w:rPr>
          <w:rFonts w:ascii="Century Gothic" w:eastAsia="Times New Roman" w:hAnsi="Century Gothic"/>
          <w:sz w:val="24"/>
          <w:szCs w:val="24"/>
          <w:lang w:eastAsia="ru-RU"/>
        </w:rPr>
        <w:t>.</w:t>
      </w:r>
      <w:r w:rsidR="00971BCD">
        <w:rPr>
          <w:rFonts w:ascii="Century Gothic" w:eastAsia="Times New Roman" w:hAnsi="Century Gothic"/>
          <w:sz w:val="24"/>
          <w:szCs w:val="24"/>
          <w:lang w:eastAsia="ru-RU"/>
        </w:rPr>
        <w:t>6</w:t>
      </w:r>
      <w:r w:rsidR="00385140">
        <w:rPr>
          <w:rFonts w:ascii="Century Gothic" w:eastAsia="Times New Roman" w:hAnsi="Century Gothic"/>
          <w:sz w:val="24"/>
          <w:szCs w:val="24"/>
          <w:lang w:eastAsia="ru-RU"/>
        </w:rPr>
        <w:t>. максимально использовать все имеющиеся возможности по привлечению финансирования программ из внебюджетных источников;</w:t>
      </w:r>
    </w:p>
    <w:p w:rsidR="008E5675" w:rsidRDefault="001244EA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>
        <w:rPr>
          <w:rFonts w:ascii="Century Gothic" w:eastAsia="Times New Roman" w:hAnsi="Century Gothic"/>
          <w:sz w:val="24"/>
          <w:szCs w:val="24"/>
          <w:lang w:eastAsia="ru-RU"/>
        </w:rPr>
        <w:t>4</w:t>
      </w:r>
      <w:r w:rsidR="008E5675" w:rsidRPr="0084493B">
        <w:rPr>
          <w:rFonts w:ascii="Century Gothic" w:eastAsia="Times New Roman" w:hAnsi="Century Gothic"/>
          <w:sz w:val="24"/>
          <w:szCs w:val="24"/>
          <w:lang w:eastAsia="ru-RU"/>
        </w:rPr>
        <w:t>.</w:t>
      </w:r>
      <w:r w:rsidR="00971BCD">
        <w:rPr>
          <w:rFonts w:ascii="Century Gothic" w:eastAsia="Times New Roman" w:hAnsi="Century Gothic"/>
          <w:sz w:val="24"/>
          <w:szCs w:val="24"/>
          <w:lang w:eastAsia="ru-RU"/>
        </w:rPr>
        <w:t>7</w:t>
      </w:r>
      <w:r w:rsidR="008E5675" w:rsidRPr="0084493B">
        <w:rPr>
          <w:rFonts w:ascii="Century Gothic" w:eastAsia="Times New Roman" w:hAnsi="Century Gothic"/>
          <w:sz w:val="24"/>
          <w:szCs w:val="24"/>
          <w:lang w:eastAsia="ru-RU"/>
        </w:rPr>
        <w:t xml:space="preserve">. отказаться от бюджетного финансирования мероприятий, </w:t>
      </w:r>
      <w:proofErr w:type="gramStart"/>
      <w:r w:rsidR="008E5675" w:rsidRPr="0084493B">
        <w:rPr>
          <w:rFonts w:ascii="Century Gothic" w:eastAsia="Times New Roman" w:hAnsi="Century Gothic"/>
          <w:sz w:val="24"/>
          <w:szCs w:val="24"/>
          <w:lang w:eastAsia="ru-RU"/>
        </w:rPr>
        <w:t>результаты</w:t>
      </w:r>
      <w:proofErr w:type="gramEnd"/>
      <w:r w:rsidR="008E5675" w:rsidRPr="0084493B">
        <w:rPr>
          <w:rFonts w:ascii="Century Gothic" w:eastAsia="Times New Roman" w:hAnsi="Century Gothic"/>
          <w:sz w:val="24"/>
          <w:szCs w:val="24"/>
          <w:lang w:eastAsia="ru-RU"/>
        </w:rPr>
        <w:t xml:space="preserve"> реализации которых незначительны или не явно влияют на улучшение социально-экономического состояния городского округа.</w:t>
      </w:r>
    </w:p>
    <w:p w:rsidR="008A79DD" w:rsidRDefault="008A79DD" w:rsidP="008E5675">
      <w:pPr>
        <w:spacing w:after="0" w:line="240" w:lineRule="auto"/>
        <w:ind w:right="-1" w:firstLine="567"/>
        <w:jc w:val="both"/>
        <w:rPr>
          <w:rFonts w:ascii="Century Gothic" w:hAnsi="Century Gothic"/>
          <w:color w:val="000000"/>
          <w:sz w:val="24"/>
          <w:szCs w:val="24"/>
        </w:rPr>
      </w:pPr>
    </w:p>
    <w:p w:rsidR="00315CDC" w:rsidRPr="006D6355" w:rsidRDefault="00315CDC" w:rsidP="008E5675">
      <w:pPr>
        <w:spacing w:after="0" w:line="240" w:lineRule="auto"/>
        <w:ind w:right="-1" w:firstLine="567"/>
        <w:jc w:val="both"/>
        <w:rPr>
          <w:rFonts w:ascii="Century Gothic" w:hAnsi="Century Gothic"/>
          <w:color w:val="000000"/>
          <w:sz w:val="24"/>
          <w:szCs w:val="24"/>
        </w:rPr>
      </w:pPr>
    </w:p>
    <w:p w:rsidR="008E5675" w:rsidRPr="006D6355" w:rsidRDefault="008E5675" w:rsidP="008E5675">
      <w:pPr>
        <w:spacing w:after="0" w:line="240" w:lineRule="auto"/>
        <w:ind w:right="-1"/>
        <w:jc w:val="both"/>
        <w:rPr>
          <w:rFonts w:ascii="Century Gothic" w:hAnsi="Century Gothic"/>
          <w:color w:val="000000"/>
          <w:sz w:val="24"/>
          <w:szCs w:val="24"/>
        </w:rPr>
      </w:pPr>
      <w:r w:rsidRPr="006D6355">
        <w:rPr>
          <w:rFonts w:ascii="Century Gothic" w:hAnsi="Century Gothic"/>
          <w:color w:val="000000"/>
          <w:sz w:val="24"/>
          <w:szCs w:val="24"/>
        </w:rPr>
        <w:t xml:space="preserve">Начальник управления </w:t>
      </w:r>
    </w:p>
    <w:p w:rsidR="002E5DFC" w:rsidRDefault="008E5675" w:rsidP="008E5675">
      <w:pPr>
        <w:rPr>
          <w:rFonts w:ascii="Century Gothic" w:hAnsi="Century Gothic"/>
          <w:color w:val="000000"/>
          <w:sz w:val="24"/>
          <w:szCs w:val="24"/>
        </w:rPr>
      </w:pPr>
      <w:r w:rsidRPr="006D6355">
        <w:rPr>
          <w:rFonts w:ascii="Century Gothic" w:hAnsi="Century Gothic"/>
          <w:color w:val="000000"/>
          <w:sz w:val="24"/>
          <w:szCs w:val="24"/>
        </w:rPr>
        <w:t>экономическ</w:t>
      </w:r>
      <w:r w:rsidR="00601470">
        <w:rPr>
          <w:rFonts w:ascii="Century Gothic" w:hAnsi="Century Gothic"/>
          <w:color w:val="000000"/>
          <w:sz w:val="24"/>
          <w:szCs w:val="24"/>
        </w:rPr>
        <w:t>ого развития и инвестиций</w:t>
      </w:r>
      <w:r w:rsidR="00601470">
        <w:rPr>
          <w:rFonts w:ascii="Century Gothic" w:hAnsi="Century Gothic"/>
          <w:color w:val="000000"/>
          <w:sz w:val="24"/>
          <w:szCs w:val="24"/>
        </w:rPr>
        <w:tab/>
      </w:r>
      <w:r w:rsidR="00601470">
        <w:rPr>
          <w:rFonts w:ascii="Century Gothic" w:hAnsi="Century Gothic"/>
          <w:color w:val="000000"/>
          <w:sz w:val="24"/>
          <w:szCs w:val="24"/>
        </w:rPr>
        <w:tab/>
      </w:r>
      <w:r w:rsidR="00601470">
        <w:rPr>
          <w:rFonts w:ascii="Century Gothic" w:hAnsi="Century Gothic"/>
          <w:color w:val="000000"/>
          <w:sz w:val="24"/>
          <w:szCs w:val="24"/>
        </w:rPr>
        <w:tab/>
      </w:r>
      <w:r w:rsidR="00601470">
        <w:rPr>
          <w:rFonts w:ascii="Century Gothic" w:hAnsi="Century Gothic"/>
          <w:color w:val="000000"/>
          <w:sz w:val="24"/>
          <w:szCs w:val="24"/>
        </w:rPr>
        <w:tab/>
      </w:r>
      <w:r w:rsidR="00601470">
        <w:rPr>
          <w:rFonts w:ascii="Century Gothic" w:hAnsi="Century Gothic"/>
          <w:color w:val="000000"/>
          <w:sz w:val="24"/>
          <w:szCs w:val="24"/>
        </w:rPr>
        <w:tab/>
        <w:t xml:space="preserve">         О.В. Харисова</w:t>
      </w:r>
    </w:p>
    <w:p w:rsidR="00390E92" w:rsidRDefault="00390E92" w:rsidP="008E5675">
      <w:pPr>
        <w:rPr>
          <w:rFonts w:ascii="Century Gothic" w:hAnsi="Century Gothic"/>
          <w:color w:val="000000"/>
          <w:sz w:val="24"/>
          <w:szCs w:val="24"/>
        </w:rPr>
      </w:pPr>
    </w:p>
    <w:p w:rsidR="00390E92" w:rsidRDefault="00390E92" w:rsidP="008E5675">
      <w:pPr>
        <w:rPr>
          <w:rFonts w:ascii="Century Gothic" w:hAnsi="Century Gothic"/>
          <w:color w:val="000000"/>
          <w:sz w:val="24"/>
          <w:szCs w:val="24"/>
        </w:rPr>
      </w:pPr>
    </w:p>
    <w:p w:rsidR="00390E92" w:rsidRDefault="00390E92" w:rsidP="008E5675">
      <w:pPr>
        <w:rPr>
          <w:rFonts w:ascii="Century Gothic" w:hAnsi="Century Gothic"/>
          <w:color w:val="000000"/>
          <w:sz w:val="24"/>
          <w:szCs w:val="24"/>
        </w:rPr>
      </w:pPr>
    </w:p>
    <w:p w:rsidR="00390E92" w:rsidRDefault="00390E92" w:rsidP="008E5675">
      <w:pPr>
        <w:rPr>
          <w:rFonts w:ascii="Century Gothic" w:hAnsi="Century Gothic"/>
          <w:color w:val="000000"/>
          <w:sz w:val="24"/>
          <w:szCs w:val="24"/>
        </w:rPr>
      </w:pPr>
    </w:p>
    <w:p w:rsidR="00390E92" w:rsidRDefault="00390E92" w:rsidP="008E5675"/>
    <w:p w:rsidR="00315CDC" w:rsidRDefault="00315CDC" w:rsidP="008E5675"/>
    <w:p w:rsidR="00315CDC" w:rsidRDefault="00315CDC" w:rsidP="008E5675"/>
    <w:p w:rsidR="00315CDC" w:rsidRDefault="00315CDC" w:rsidP="008E5675"/>
    <w:p w:rsidR="00315CDC" w:rsidRDefault="00315CDC" w:rsidP="008E5675"/>
    <w:p w:rsidR="00315CDC" w:rsidRDefault="00315CDC" w:rsidP="008E5675"/>
    <w:p w:rsidR="00315CDC" w:rsidRDefault="00315CDC" w:rsidP="008E5675"/>
    <w:p w:rsidR="00315CDC" w:rsidRDefault="00315CDC" w:rsidP="008E5675"/>
    <w:p w:rsidR="00315CDC" w:rsidRDefault="00315CDC" w:rsidP="008E5675"/>
    <w:p w:rsidR="00315CDC" w:rsidRDefault="00315CDC" w:rsidP="008E5675"/>
    <w:p w:rsidR="00315CDC" w:rsidRDefault="00315CDC" w:rsidP="008E5675"/>
    <w:p w:rsidR="00315CDC" w:rsidRDefault="00315CDC" w:rsidP="008E5675"/>
    <w:p w:rsidR="00315CDC" w:rsidRPr="00315CDC" w:rsidRDefault="00315CDC" w:rsidP="008E5675">
      <w:pPr>
        <w:rPr>
          <w:rFonts w:ascii="Century Gothic" w:hAnsi="Century Gothic"/>
          <w:sz w:val="20"/>
        </w:rPr>
      </w:pPr>
      <w:r w:rsidRPr="00315CDC">
        <w:rPr>
          <w:rFonts w:ascii="Century Gothic" w:hAnsi="Century Gothic"/>
          <w:sz w:val="20"/>
        </w:rPr>
        <w:t>Лапшина Евгения Николаевна, 290127</w:t>
      </w:r>
    </w:p>
    <w:sectPr w:rsidR="00315CDC" w:rsidRPr="00315CDC" w:rsidSect="00390E92">
      <w:headerReference w:type="default" r:id="rId12"/>
      <w:footerReference w:type="default" r:id="rId13"/>
      <w:pgSz w:w="11906" w:h="16838"/>
      <w:pgMar w:top="52" w:right="566" w:bottom="567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14D4" w:rsidRDefault="000A14D4" w:rsidP="00EA6CF2">
      <w:pPr>
        <w:spacing w:after="0" w:line="240" w:lineRule="auto"/>
      </w:pPr>
      <w:r>
        <w:separator/>
      </w:r>
    </w:p>
  </w:endnote>
  <w:endnote w:type="continuationSeparator" w:id="0">
    <w:p w:rsidR="000A14D4" w:rsidRDefault="000A14D4" w:rsidP="00EA6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BBD" w:rsidRPr="008A79DD" w:rsidRDefault="00F46BBD" w:rsidP="008A79DD">
    <w:pPr>
      <w:pStyle w:val="a9"/>
      <w:jc w:val="right"/>
      <w:rPr>
        <w:rFonts w:ascii="Century Gothic" w:hAnsi="Century Gothic"/>
      </w:rPr>
    </w:pPr>
    <w:r w:rsidRPr="008A79DD">
      <w:rPr>
        <w:rFonts w:ascii="Century Gothic" w:hAnsi="Century Gothic"/>
      </w:rPr>
      <w:t>Управление экономического развития и инвестиций</w:t>
    </w:r>
    <w:r w:rsidR="00394391" w:rsidRPr="00394391">
      <w:rPr>
        <w:rFonts w:ascii="Century Gothic" w:eastAsia="Times New Roman" w:hAnsi="Century Gothic"/>
        <w:sz w:val="24"/>
        <w:szCs w:val="24"/>
        <w:lang w:eastAsia="ru-RU"/>
      </w:rPr>
    </w:r>
    <w:r w:rsidR="00394391" w:rsidRPr="00394391">
      <w:rPr>
        <w:rFonts w:ascii="Century Gothic" w:eastAsia="Times New Roman" w:hAnsi="Century Gothic"/>
        <w:sz w:val="24"/>
        <w:szCs w:val="24"/>
        <w:lang w:eastAsia="ru-RU"/>
      </w:rPr>
      <w:pict>
        <v:group id="_x0000_s2053" style="width:39pt;height:37.95pt;flip:x y;mso-position-horizontal-relative:char;mso-position-vertical-relative:line" coordorigin="8754,11945" coordsize="2880,2859">
          <v:rect id="_x0000_s2054" style="position:absolute;left:10194;top:11945;width:1440;height:1440;flip:x;mso-width-relative:margin;v-text-anchor:middle" fillcolor="#bfbfbf" strokecolor="white" strokeweight="1pt">
            <v:fill opacity=".5"/>
            <v:shadow color="#d8d8d8" offset="3pt,3pt" offset2="2pt,2pt"/>
          </v:rect>
          <v:rect id="_x0000_s2055" style="position:absolute;left:10194;top:13364;width:1440;height:1440;flip:x;mso-width-relative:margin;v-text-anchor:middle" fillcolor="#4caeac" strokecolor="white" strokeweight="1pt">
            <v:shadow color="#d8d8d8" offset="3pt,3pt" offset2="2pt,2pt"/>
          </v:rect>
          <v:rect id="_x0000_s2056" style="position:absolute;left:8754;top:13364;width:1440;height:1440;flip:x;mso-width-relative:margin;v-text-anchor:middle" fillcolor="#ff7c80" strokecolor="white" strokeweight="1pt">
            <v:fill opacity=".5"/>
            <v:shadow color="#d8d8d8" offset="3pt,3pt" offset2="2pt,2pt"/>
          </v:rect>
          <w10:wrap type="none" anchorx="margin" anchory="page"/>
          <w10:anchorlock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14D4" w:rsidRDefault="000A14D4" w:rsidP="00EA6CF2">
      <w:pPr>
        <w:spacing w:after="0" w:line="240" w:lineRule="auto"/>
      </w:pPr>
      <w:r>
        <w:separator/>
      </w:r>
    </w:p>
  </w:footnote>
  <w:footnote w:type="continuationSeparator" w:id="0">
    <w:p w:rsidR="000A14D4" w:rsidRDefault="000A14D4" w:rsidP="00EA6C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792"/>
      <w:gridCol w:w="9630"/>
    </w:tblGrid>
    <w:tr w:rsidR="00F46BBD" w:rsidTr="00074AB2">
      <w:trPr>
        <w:trHeight w:hRule="exact" w:val="792"/>
      </w:trPr>
      <w:tc>
        <w:tcPr>
          <w:tcW w:w="792" w:type="dxa"/>
          <w:shd w:val="clear" w:color="auto" w:fill="4CAEAC"/>
          <w:vAlign w:val="center"/>
        </w:tcPr>
        <w:p w:rsidR="00F46BBD" w:rsidRPr="00074AB2" w:rsidRDefault="00394391">
          <w:pPr>
            <w:pStyle w:val="a9"/>
            <w:jc w:val="center"/>
            <w:rPr>
              <w:rFonts w:ascii="Century Gothic" w:hAnsi="Century Gothic"/>
            </w:rPr>
          </w:pPr>
          <w:r w:rsidRPr="00074AB2">
            <w:rPr>
              <w:rFonts w:ascii="Century Gothic" w:hAnsi="Century Gothic"/>
            </w:rPr>
            <w:fldChar w:fldCharType="begin"/>
          </w:r>
          <w:r w:rsidR="00F46BBD" w:rsidRPr="00074AB2">
            <w:rPr>
              <w:rFonts w:ascii="Century Gothic" w:hAnsi="Century Gothic"/>
            </w:rPr>
            <w:instrText xml:space="preserve"> PAGE  \* MERGEFORMAT </w:instrText>
          </w:r>
          <w:r w:rsidRPr="00074AB2">
            <w:rPr>
              <w:rFonts w:ascii="Century Gothic" w:hAnsi="Century Gothic"/>
            </w:rPr>
            <w:fldChar w:fldCharType="separate"/>
          </w:r>
          <w:r w:rsidR="00104270">
            <w:rPr>
              <w:rFonts w:ascii="Century Gothic" w:hAnsi="Century Gothic"/>
              <w:noProof/>
            </w:rPr>
            <w:t>7</w:t>
          </w:r>
          <w:r w:rsidRPr="00074AB2">
            <w:rPr>
              <w:rFonts w:ascii="Century Gothic" w:hAnsi="Century Gothic"/>
            </w:rPr>
            <w:fldChar w:fldCharType="end"/>
          </w:r>
        </w:p>
      </w:tc>
      <w:tc>
        <w:tcPr>
          <w:tcW w:w="0" w:type="auto"/>
          <w:vAlign w:val="center"/>
        </w:tcPr>
        <w:p w:rsidR="00993324" w:rsidRPr="00993324" w:rsidRDefault="000E4F55" w:rsidP="00993324">
          <w:pPr>
            <w:pStyle w:val="a9"/>
            <w:rPr>
              <w:rFonts w:ascii="Century Gothic" w:eastAsia="Times New Roman" w:hAnsi="Century Gothic"/>
              <w:sz w:val="20"/>
              <w:szCs w:val="28"/>
            </w:rPr>
          </w:pPr>
          <w:r>
            <w:rPr>
              <w:rFonts w:ascii="Century Gothic" w:eastAsia="Times New Roman" w:hAnsi="Century Gothic"/>
              <w:sz w:val="20"/>
              <w:szCs w:val="28"/>
            </w:rPr>
            <w:t xml:space="preserve">ОТЧЕТ О </w:t>
          </w:r>
          <w:r w:rsidR="00993324">
            <w:rPr>
              <w:rFonts w:ascii="Century Gothic" w:eastAsia="Times New Roman" w:hAnsi="Century Gothic"/>
              <w:sz w:val="20"/>
              <w:szCs w:val="28"/>
            </w:rPr>
            <w:t>СТЕПЕНИ ДОСТИЖЕНИЯ ИНДИКАТОРОВ СТРАТЕГИИ-2030</w:t>
          </w:r>
          <w:r w:rsidR="00390E92">
            <w:rPr>
              <w:rFonts w:ascii="Century Gothic" w:eastAsia="Times New Roman" w:hAnsi="Century Gothic"/>
              <w:sz w:val="20"/>
              <w:szCs w:val="28"/>
            </w:rPr>
            <w:t xml:space="preserve">, </w:t>
          </w:r>
          <w:r>
            <w:rPr>
              <w:rFonts w:ascii="Century Gothic" w:eastAsia="Times New Roman" w:hAnsi="Century Gothic"/>
              <w:sz w:val="20"/>
              <w:szCs w:val="28"/>
            </w:rPr>
            <w:t>МУНИЦИПАЛЬНЫХ ПРОГРАММ</w:t>
          </w:r>
          <w:r w:rsidR="00993324">
            <w:rPr>
              <w:rFonts w:ascii="Century Gothic" w:eastAsia="Times New Roman" w:hAnsi="Century Gothic"/>
              <w:sz w:val="20"/>
              <w:szCs w:val="28"/>
            </w:rPr>
            <w:t xml:space="preserve"> ЗА 2021 ГОД</w:t>
          </w:r>
        </w:p>
      </w:tc>
    </w:tr>
  </w:tbl>
  <w:p w:rsidR="00F46BBD" w:rsidRDefault="00F46BBD" w:rsidP="00074AB2">
    <w:pPr>
      <w:pStyle w:val="a7"/>
      <w:tabs>
        <w:tab w:val="clear" w:pos="4677"/>
        <w:tab w:val="clear" w:pos="9355"/>
        <w:tab w:val="left" w:pos="1309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9516B"/>
    <w:multiLevelType w:val="hybridMultilevel"/>
    <w:tmpl w:val="65724A5A"/>
    <w:lvl w:ilvl="0" w:tplc="3BBC0DF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F752408"/>
    <w:multiLevelType w:val="hybridMultilevel"/>
    <w:tmpl w:val="E05006B6"/>
    <w:lvl w:ilvl="0" w:tplc="6DEA2D7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C3F4DD9"/>
    <w:multiLevelType w:val="hybridMultilevel"/>
    <w:tmpl w:val="ECC4C0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09A3A89"/>
    <w:multiLevelType w:val="hybridMultilevel"/>
    <w:tmpl w:val="2B907DF8"/>
    <w:lvl w:ilvl="0" w:tplc="F3AE08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55C39D2"/>
    <w:multiLevelType w:val="hybridMultilevel"/>
    <w:tmpl w:val="D8802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027DBB"/>
    <w:multiLevelType w:val="hybridMultilevel"/>
    <w:tmpl w:val="803E3A60"/>
    <w:lvl w:ilvl="0" w:tplc="FC14296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404384"/>
    <w:multiLevelType w:val="hybridMultilevel"/>
    <w:tmpl w:val="02E41E12"/>
    <w:lvl w:ilvl="0" w:tplc="65E2EC12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A736CD9"/>
    <w:multiLevelType w:val="hybridMultilevel"/>
    <w:tmpl w:val="FE244FE6"/>
    <w:lvl w:ilvl="0" w:tplc="A3FED3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D311E51"/>
    <w:multiLevelType w:val="hybridMultilevel"/>
    <w:tmpl w:val="92C2C25E"/>
    <w:lvl w:ilvl="0" w:tplc="3D8ED75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5E414060"/>
    <w:multiLevelType w:val="hybridMultilevel"/>
    <w:tmpl w:val="B26E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1071FC"/>
    <w:multiLevelType w:val="hybridMultilevel"/>
    <w:tmpl w:val="1F1E3D90"/>
    <w:lvl w:ilvl="0" w:tplc="0419000F">
      <w:start w:val="1"/>
      <w:numFmt w:val="decimal"/>
      <w:lvlText w:val="%1."/>
      <w:lvlJc w:val="left"/>
      <w:pPr>
        <w:ind w:left="2700" w:hanging="360"/>
      </w:p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1">
    <w:nsid w:val="6B9E59B3"/>
    <w:multiLevelType w:val="hybridMultilevel"/>
    <w:tmpl w:val="7DD4CE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45D6C61"/>
    <w:multiLevelType w:val="hybridMultilevel"/>
    <w:tmpl w:val="80B2B240"/>
    <w:lvl w:ilvl="0" w:tplc="907AFFF2">
      <w:start w:val="1"/>
      <w:numFmt w:val="decimal"/>
      <w:lvlText w:val="%1."/>
      <w:lvlJc w:val="left"/>
      <w:pPr>
        <w:ind w:left="1482" w:hanging="91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0"/>
  </w:num>
  <w:num w:numId="2">
    <w:abstractNumId w:val="11"/>
  </w:num>
  <w:num w:numId="3">
    <w:abstractNumId w:val="6"/>
  </w:num>
  <w:num w:numId="4">
    <w:abstractNumId w:val="5"/>
  </w:num>
  <w:num w:numId="5">
    <w:abstractNumId w:val="8"/>
  </w:num>
  <w:num w:numId="6">
    <w:abstractNumId w:val="1"/>
  </w:num>
  <w:num w:numId="7">
    <w:abstractNumId w:val="12"/>
  </w:num>
  <w:num w:numId="8">
    <w:abstractNumId w:val="9"/>
  </w:num>
  <w:num w:numId="9">
    <w:abstractNumId w:val="3"/>
  </w:num>
  <w:num w:numId="10">
    <w:abstractNumId w:val="0"/>
  </w:num>
  <w:num w:numId="11">
    <w:abstractNumId w:val="7"/>
  </w:num>
  <w:num w:numId="12">
    <w:abstractNumId w:val="4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843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E5675"/>
    <w:rsid w:val="0000440B"/>
    <w:rsid w:val="0001467E"/>
    <w:rsid w:val="000355D6"/>
    <w:rsid w:val="00040172"/>
    <w:rsid w:val="00050FBC"/>
    <w:rsid w:val="00055F3A"/>
    <w:rsid w:val="00074AB2"/>
    <w:rsid w:val="000763BD"/>
    <w:rsid w:val="000817C0"/>
    <w:rsid w:val="000863B7"/>
    <w:rsid w:val="0008752C"/>
    <w:rsid w:val="000A14D4"/>
    <w:rsid w:val="000A4D38"/>
    <w:rsid w:val="000C4343"/>
    <w:rsid w:val="000D49CC"/>
    <w:rsid w:val="000D5682"/>
    <w:rsid w:val="000D5895"/>
    <w:rsid w:val="000E4F55"/>
    <w:rsid w:val="00104270"/>
    <w:rsid w:val="0011726F"/>
    <w:rsid w:val="001244EA"/>
    <w:rsid w:val="0013648E"/>
    <w:rsid w:val="001458BA"/>
    <w:rsid w:val="00161EA9"/>
    <w:rsid w:val="00185828"/>
    <w:rsid w:val="00185CA6"/>
    <w:rsid w:val="00194DFF"/>
    <w:rsid w:val="001B50B0"/>
    <w:rsid w:val="001C1D75"/>
    <w:rsid w:val="001D579C"/>
    <w:rsid w:val="001E4DBD"/>
    <w:rsid w:val="001F0333"/>
    <w:rsid w:val="001F1F33"/>
    <w:rsid w:val="001F706D"/>
    <w:rsid w:val="00202EE7"/>
    <w:rsid w:val="00206797"/>
    <w:rsid w:val="00207061"/>
    <w:rsid w:val="00215713"/>
    <w:rsid w:val="00222856"/>
    <w:rsid w:val="00231600"/>
    <w:rsid w:val="00234C96"/>
    <w:rsid w:val="002406F0"/>
    <w:rsid w:val="002458C0"/>
    <w:rsid w:val="00264BCF"/>
    <w:rsid w:val="00277ABF"/>
    <w:rsid w:val="00282D1F"/>
    <w:rsid w:val="0028572B"/>
    <w:rsid w:val="00287682"/>
    <w:rsid w:val="00291AF1"/>
    <w:rsid w:val="002B74B2"/>
    <w:rsid w:val="002C28E8"/>
    <w:rsid w:val="002C529E"/>
    <w:rsid w:val="002D38FF"/>
    <w:rsid w:val="002E0919"/>
    <w:rsid w:val="002E4A69"/>
    <w:rsid w:val="002E5DFC"/>
    <w:rsid w:val="002F0B81"/>
    <w:rsid w:val="002F4933"/>
    <w:rsid w:val="00307F77"/>
    <w:rsid w:val="00311ABB"/>
    <w:rsid w:val="00315CDC"/>
    <w:rsid w:val="003228B2"/>
    <w:rsid w:val="00341E5D"/>
    <w:rsid w:val="00347878"/>
    <w:rsid w:val="003575BD"/>
    <w:rsid w:val="0036180A"/>
    <w:rsid w:val="00367DDC"/>
    <w:rsid w:val="00370D3B"/>
    <w:rsid w:val="003768E8"/>
    <w:rsid w:val="003829B1"/>
    <w:rsid w:val="00385140"/>
    <w:rsid w:val="00386AA6"/>
    <w:rsid w:val="00386EF3"/>
    <w:rsid w:val="00390676"/>
    <w:rsid w:val="00390E92"/>
    <w:rsid w:val="00394391"/>
    <w:rsid w:val="003A09BE"/>
    <w:rsid w:val="003A6B55"/>
    <w:rsid w:val="003D4846"/>
    <w:rsid w:val="003E10CB"/>
    <w:rsid w:val="003F2D52"/>
    <w:rsid w:val="004125CF"/>
    <w:rsid w:val="004162AC"/>
    <w:rsid w:val="00424011"/>
    <w:rsid w:val="00426E00"/>
    <w:rsid w:val="00451514"/>
    <w:rsid w:val="00455EFC"/>
    <w:rsid w:val="00461A54"/>
    <w:rsid w:val="004636AD"/>
    <w:rsid w:val="00472C75"/>
    <w:rsid w:val="00473512"/>
    <w:rsid w:val="00487A08"/>
    <w:rsid w:val="004909FF"/>
    <w:rsid w:val="004A2885"/>
    <w:rsid w:val="004A7107"/>
    <w:rsid w:val="004B1B60"/>
    <w:rsid w:val="004B68FE"/>
    <w:rsid w:val="004C0013"/>
    <w:rsid w:val="004F5465"/>
    <w:rsid w:val="004F6773"/>
    <w:rsid w:val="00506264"/>
    <w:rsid w:val="005122B0"/>
    <w:rsid w:val="005272A6"/>
    <w:rsid w:val="00534799"/>
    <w:rsid w:val="00543DB7"/>
    <w:rsid w:val="00554671"/>
    <w:rsid w:val="005611F3"/>
    <w:rsid w:val="0056662A"/>
    <w:rsid w:val="00567ADD"/>
    <w:rsid w:val="00574942"/>
    <w:rsid w:val="00580DF1"/>
    <w:rsid w:val="00590B3A"/>
    <w:rsid w:val="005968BF"/>
    <w:rsid w:val="005A61EA"/>
    <w:rsid w:val="005B3F35"/>
    <w:rsid w:val="005C5D97"/>
    <w:rsid w:val="005D2057"/>
    <w:rsid w:val="005E13AA"/>
    <w:rsid w:val="005F42C2"/>
    <w:rsid w:val="005F758F"/>
    <w:rsid w:val="00601470"/>
    <w:rsid w:val="00615FC6"/>
    <w:rsid w:val="00617C00"/>
    <w:rsid w:val="0062043C"/>
    <w:rsid w:val="00621753"/>
    <w:rsid w:val="00621ACE"/>
    <w:rsid w:val="006245FF"/>
    <w:rsid w:val="00625ABE"/>
    <w:rsid w:val="006277E3"/>
    <w:rsid w:val="006315C3"/>
    <w:rsid w:val="006362BC"/>
    <w:rsid w:val="0064086B"/>
    <w:rsid w:val="006533EE"/>
    <w:rsid w:val="00660E57"/>
    <w:rsid w:val="00663175"/>
    <w:rsid w:val="0068585D"/>
    <w:rsid w:val="00695860"/>
    <w:rsid w:val="00695E53"/>
    <w:rsid w:val="00697AF1"/>
    <w:rsid w:val="006B7AD4"/>
    <w:rsid w:val="006C241E"/>
    <w:rsid w:val="006D3704"/>
    <w:rsid w:val="006D44B7"/>
    <w:rsid w:val="006E272A"/>
    <w:rsid w:val="006E3D2C"/>
    <w:rsid w:val="006F0806"/>
    <w:rsid w:val="007006DE"/>
    <w:rsid w:val="00712F28"/>
    <w:rsid w:val="00720364"/>
    <w:rsid w:val="007411F4"/>
    <w:rsid w:val="00746650"/>
    <w:rsid w:val="00753442"/>
    <w:rsid w:val="00761761"/>
    <w:rsid w:val="00767ABE"/>
    <w:rsid w:val="00776B8E"/>
    <w:rsid w:val="0077714B"/>
    <w:rsid w:val="0078234B"/>
    <w:rsid w:val="0079329F"/>
    <w:rsid w:val="007943F8"/>
    <w:rsid w:val="00797B5C"/>
    <w:rsid w:val="007A395B"/>
    <w:rsid w:val="007A6035"/>
    <w:rsid w:val="007B0FD2"/>
    <w:rsid w:val="007B66D3"/>
    <w:rsid w:val="007C3B2E"/>
    <w:rsid w:val="007C3C9E"/>
    <w:rsid w:val="007C798D"/>
    <w:rsid w:val="007F1EAC"/>
    <w:rsid w:val="0080143B"/>
    <w:rsid w:val="008020E1"/>
    <w:rsid w:val="0080311B"/>
    <w:rsid w:val="00803FC4"/>
    <w:rsid w:val="00813BE7"/>
    <w:rsid w:val="00822310"/>
    <w:rsid w:val="00822461"/>
    <w:rsid w:val="008332EF"/>
    <w:rsid w:val="0084493B"/>
    <w:rsid w:val="00852EC7"/>
    <w:rsid w:val="008604CE"/>
    <w:rsid w:val="008659F2"/>
    <w:rsid w:val="008A2A66"/>
    <w:rsid w:val="008A79DD"/>
    <w:rsid w:val="008B21AD"/>
    <w:rsid w:val="008C53DF"/>
    <w:rsid w:val="008E3696"/>
    <w:rsid w:val="008E5675"/>
    <w:rsid w:val="008F19C0"/>
    <w:rsid w:val="008F569D"/>
    <w:rsid w:val="008F5EDA"/>
    <w:rsid w:val="009020BC"/>
    <w:rsid w:val="00902946"/>
    <w:rsid w:val="00905926"/>
    <w:rsid w:val="00916244"/>
    <w:rsid w:val="009168B2"/>
    <w:rsid w:val="00933C71"/>
    <w:rsid w:val="009367E6"/>
    <w:rsid w:val="00936E9A"/>
    <w:rsid w:val="009616B2"/>
    <w:rsid w:val="00962E42"/>
    <w:rsid w:val="00971BCD"/>
    <w:rsid w:val="00971CFA"/>
    <w:rsid w:val="00976193"/>
    <w:rsid w:val="00983B0E"/>
    <w:rsid w:val="00993324"/>
    <w:rsid w:val="009A20E2"/>
    <w:rsid w:val="009A433C"/>
    <w:rsid w:val="009C0C1B"/>
    <w:rsid w:val="009C492B"/>
    <w:rsid w:val="009C5024"/>
    <w:rsid w:val="009F5639"/>
    <w:rsid w:val="009F75A8"/>
    <w:rsid w:val="00A01055"/>
    <w:rsid w:val="00A01EDC"/>
    <w:rsid w:val="00A05289"/>
    <w:rsid w:val="00A06A36"/>
    <w:rsid w:val="00A10049"/>
    <w:rsid w:val="00A10395"/>
    <w:rsid w:val="00A26CC3"/>
    <w:rsid w:val="00A36B5B"/>
    <w:rsid w:val="00A427F7"/>
    <w:rsid w:val="00AB2C66"/>
    <w:rsid w:val="00AB69EE"/>
    <w:rsid w:val="00AC47D8"/>
    <w:rsid w:val="00AD5155"/>
    <w:rsid w:val="00AE4CE5"/>
    <w:rsid w:val="00AE5720"/>
    <w:rsid w:val="00AE7F92"/>
    <w:rsid w:val="00AF1D5F"/>
    <w:rsid w:val="00B0018C"/>
    <w:rsid w:val="00B001D1"/>
    <w:rsid w:val="00B046A7"/>
    <w:rsid w:val="00B101D6"/>
    <w:rsid w:val="00B11148"/>
    <w:rsid w:val="00B14C92"/>
    <w:rsid w:val="00B21501"/>
    <w:rsid w:val="00B23FB5"/>
    <w:rsid w:val="00B37D36"/>
    <w:rsid w:val="00B41C74"/>
    <w:rsid w:val="00B4659A"/>
    <w:rsid w:val="00B55F0F"/>
    <w:rsid w:val="00B6010A"/>
    <w:rsid w:val="00B645DA"/>
    <w:rsid w:val="00B71B80"/>
    <w:rsid w:val="00B764B6"/>
    <w:rsid w:val="00B806DB"/>
    <w:rsid w:val="00B835CC"/>
    <w:rsid w:val="00B85EDC"/>
    <w:rsid w:val="00B93F5F"/>
    <w:rsid w:val="00BA09F8"/>
    <w:rsid w:val="00BA5980"/>
    <w:rsid w:val="00BE0E54"/>
    <w:rsid w:val="00BE5202"/>
    <w:rsid w:val="00BE59E2"/>
    <w:rsid w:val="00BE7F41"/>
    <w:rsid w:val="00BF7164"/>
    <w:rsid w:val="00C11E39"/>
    <w:rsid w:val="00C12885"/>
    <w:rsid w:val="00C26A48"/>
    <w:rsid w:val="00C30345"/>
    <w:rsid w:val="00C42351"/>
    <w:rsid w:val="00C67BA7"/>
    <w:rsid w:val="00C71BAA"/>
    <w:rsid w:val="00C83D97"/>
    <w:rsid w:val="00C9556D"/>
    <w:rsid w:val="00C968A4"/>
    <w:rsid w:val="00CB08F0"/>
    <w:rsid w:val="00CB35C8"/>
    <w:rsid w:val="00CB4E13"/>
    <w:rsid w:val="00CB79B5"/>
    <w:rsid w:val="00CC29B5"/>
    <w:rsid w:val="00CD4E6D"/>
    <w:rsid w:val="00CD67A3"/>
    <w:rsid w:val="00CE52A7"/>
    <w:rsid w:val="00CE6AFF"/>
    <w:rsid w:val="00CF3EB7"/>
    <w:rsid w:val="00D22AFA"/>
    <w:rsid w:val="00D25A73"/>
    <w:rsid w:val="00D2658E"/>
    <w:rsid w:val="00D35B83"/>
    <w:rsid w:val="00D36A0D"/>
    <w:rsid w:val="00D36B12"/>
    <w:rsid w:val="00D434F9"/>
    <w:rsid w:val="00D44657"/>
    <w:rsid w:val="00D57EB2"/>
    <w:rsid w:val="00D67851"/>
    <w:rsid w:val="00D73346"/>
    <w:rsid w:val="00D76919"/>
    <w:rsid w:val="00D802EB"/>
    <w:rsid w:val="00D808C8"/>
    <w:rsid w:val="00D92753"/>
    <w:rsid w:val="00DB34FA"/>
    <w:rsid w:val="00DB3F4F"/>
    <w:rsid w:val="00DB40A9"/>
    <w:rsid w:val="00DC2BE4"/>
    <w:rsid w:val="00DF67EC"/>
    <w:rsid w:val="00DF717A"/>
    <w:rsid w:val="00E01B42"/>
    <w:rsid w:val="00E05253"/>
    <w:rsid w:val="00E1094B"/>
    <w:rsid w:val="00E11B29"/>
    <w:rsid w:val="00E1389D"/>
    <w:rsid w:val="00E1504B"/>
    <w:rsid w:val="00E15BE5"/>
    <w:rsid w:val="00E176FF"/>
    <w:rsid w:val="00E23D48"/>
    <w:rsid w:val="00E2571A"/>
    <w:rsid w:val="00E30D1C"/>
    <w:rsid w:val="00E31A40"/>
    <w:rsid w:val="00E36708"/>
    <w:rsid w:val="00E36981"/>
    <w:rsid w:val="00E50FB0"/>
    <w:rsid w:val="00E53688"/>
    <w:rsid w:val="00E61A96"/>
    <w:rsid w:val="00E6224E"/>
    <w:rsid w:val="00E64D57"/>
    <w:rsid w:val="00E779B7"/>
    <w:rsid w:val="00EA0789"/>
    <w:rsid w:val="00EA093E"/>
    <w:rsid w:val="00EA6CF2"/>
    <w:rsid w:val="00EC35F0"/>
    <w:rsid w:val="00EC5727"/>
    <w:rsid w:val="00ED262D"/>
    <w:rsid w:val="00ED2F3D"/>
    <w:rsid w:val="00ED638B"/>
    <w:rsid w:val="00ED77FF"/>
    <w:rsid w:val="00EE30D1"/>
    <w:rsid w:val="00EF2770"/>
    <w:rsid w:val="00EF379E"/>
    <w:rsid w:val="00F015AA"/>
    <w:rsid w:val="00F017A0"/>
    <w:rsid w:val="00F26222"/>
    <w:rsid w:val="00F3246E"/>
    <w:rsid w:val="00F3366D"/>
    <w:rsid w:val="00F36F03"/>
    <w:rsid w:val="00F45E5B"/>
    <w:rsid w:val="00F46BBD"/>
    <w:rsid w:val="00F56DB8"/>
    <w:rsid w:val="00F642A2"/>
    <w:rsid w:val="00F66A4C"/>
    <w:rsid w:val="00F76C48"/>
    <w:rsid w:val="00F77908"/>
    <w:rsid w:val="00F81356"/>
    <w:rsid w:val="00F973E5"/>
    <w:rsid w:val="00FB1667"/>
    <w:rsid w:val="00FB3AED"/>
    <w:rsid w:val="00FB6BB1"/>
    <w:rsid w:val="00FC1277"/>
    <w:rsid w:val="00FD3A45"/>
    <w:rsid w:val="00FF3DCB"/>
    <w:rsid w:val="00FF4601"/>
    <w:rsid w:val="00FF553A"/>
    <w:rsid w:val="00FF6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67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567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5675"/>
    <w:rPr>
      <w:rFonts w:ascii="Tahoma" w:eastAsia="Calibri" w:hAnsi="Tahoma" w:cs="Times New Roman"/>
      <w:sz w:val="16"/>
      <w:szCs w:val="16"/>
    </w:rPr>
  </w:style>
  <w:style w:type="paragraph" w:styleId="a5">
    <w:name w:val="Normal (Web)"/>
    <w:basedOn w:val="a"/>
    <w:uiPriority w:val="99"/>
    <w:unhideWhenUsed/>
    <w:rsid w:val="008E567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8E567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E567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E5675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8E567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E5675"/>
    <w:rPr>
      <w:rFonts w:ascii="Calibri" w:eastAsia="Calibri" w:hAnsi="Calibri" w:cs="Times New Roman"/>
    </w:rPr>
  </w:style>
  <w:style w:type="table" w:styleId="ab">
    <w:name w:val="Table Grid"/>
    <w:basedOn w:val="a1"/>
    <w:uiPriority w:val="59"/>
    <w:rsid w:val="008E567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link w:val="ad"/>
    <w:uiPriority w:val="1"/>
    <w:qFormat/>
    <w:rsid w:val="00ED262D"/>
    <w:rPr>
      <w:rFonts w:eastAsia="Times New Roman"/>
      <w:sz w:val="22"/>
      <w:szCs w:val="22"/>
      <w:lang w:eastAsia="en-US"/>
    </w:rPr>
  </w:style>
  <w:style w:type="character" w:customStyle="1" w:styleId="ad">
    <w:name w:val="Без интервала Знак"/>
    <w:basedOn w:val="a0"/>
    <w:link w:val="ac"/>
    <w:uiPriority w:val="1"/>
    <w:rsid w:val="00ED262D"/>
    <w:rPr>
      <w:rFonts w:eastAsia="Times New Roman"/>
      <w:sz w:val="22"/>
      <w:szCs w:val="22"/>
      <w:lang w:val="ru-R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87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chart" Target="charts/chart2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lapshina_en\Desktop\&#1051;&#1072;&#1087;&#1096;&#1080;&#1085;&#1072;%20&#1045;.&#1053;\&#1052;&#1055;%20&#1080;%20&#1042;&#1062;&#1055;\&#1043;&#1086;&#1076;&#1086;&#1074;&#1086;&#1081;%20&#1086;&#1090;&#1095;&#1077;&#1090;%20&#1052;&#1055;%20&#1079;&#1072;%202021%20&#1075;&#1086;&#1076;\&#1043;&#1086;&#1076;&#1086;&#1074;&#1086;&#1081;%20&#1086;&#1090;&#1095;&#1077;&#1090;%202021.%20&#1088;&#1072;&#1073;&#1086;&#1095;&#1080;&#1081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lapshina_en\Desktop\&#1051;&#1072;&#1087;&#1096;&#1080;&#1085;&#1072;%20&#1045;.&#1053;\&#1052;&#1055;%20&#1080;%20&#1042;&#1062;&#1055;\&#1043;&#1086;&#1076;&#1086;&#1074;&#1086;&#1081;%20&#1086;&#1090;&#1095;&#1077;&#1090;%20&#1052;&#1055;%20&#1079;&#1072;%202021%20&#1075;&#1086;&#1076;\&#1043;&#1086;&#1076;&#1086;&#1074;&#1086;&#1081;%20&#1086;&#1090;&#1095;&#1077;&#1090;%202021.%20&#1088;&#1072;&#1073;&#1086;&#1095;&#1080;&#1081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Финансирование МП по отраслям, </a:t>
            </a:r>
          </a:p>
          <a:p>
            <a:pPr>
              <a:defRPr/>
            </a:pPr>
            <a:r>
              <a:rPr lang="ru-RU"/>
              <a:t>млн. руб.</a:t>
            </a:r>
            <a:r>
              <a:rPr lang="ru-RU" baseline="0"/>
              <a:t> </a:t>
            </a:r>
            <a:endParaRPr lang="ru-RU"/>
          </a:p>
        </c:rich>
      </c:tx>
      <c:layout>
        <c:manualLayout>
          <c:xMode val="edge"/>
          <c:yMode val="edge"/>
          <c:x val="0.13546238795622276"/>
          <c:y val="2.3432357579506419E-2"/>
        </c:manualLayout>
      </c:layout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6.3211886649761989E-2"/>
          <c:y val="0.17857349118069568"/>
          <c:w val="0.51886542995684859"/>
          <c:h val="0.8025724104481865"/>
        </c:manualLayout>
      </c:layout>
      <c:pie3DChart>
        <c:varyColors val="1"/>
        <c:ser>
          <c:idx val="0"/>
          <c:order val="0"/>
          <c:explosion val="10"/>
          <c:dPt>
            <c:idx val="0"/>
            <c:explosion val="3"/>
          </c:dPt>
          <c:dLbls>
            <c:dLbl>
              <c:idx val="0"/>
              <c:layout>
                <c:manualLayout>
                  <c:x val="-0.18324809822501034"/>
                  <c:y val="-1.1549068896500383E-2"/>
                </c:manualLayout>
              </c:layout>
              <c:showVal val="1"/>
            </c:dLbl>
            <c:dLbl>
              <c:idx val="1"/>
              <c:layout>
                <c:manualLayout>
                  <c:x val="0.11461951154410784"/>
                  <c:y val="-0.10147285044584546"/>
                </c:manualLayout>
              </c:layout>
              <c:showVal val="1"/>
            </c:dLbl>
            <c:dLbl>
              <c:idx val="2"/>
              <c:layout>
                <c:manualLayout>
                  <c:x val="7.8423773299524019E-2"/>
                  <c:y val="-5.6715240848408587E-2"/>
                </c:manualLayout>
              </c:layout>
              <c:showVal val="1"/>
            </c:dLbl>
            <c:dLbl>
              <c:idx val="7"/>
              <c:layout>
                <c:manualLayout>
                  <c:x val="4.5210907958539236E-2"/>
                  <c:y val="-1.2320163910693934E-2"/>
                </c:manualLayout>
              </c:layout>
              <c:showVal val="1"/>
            </c:dLbl>
            <c:showVal val="1"/>
            <c:showLeaderLines val="1"/>
          </c:dLbls>
          <c:cat>
            <c:strRef>
              <c:f>'Отрасли '!$G$3:$G$10</c:f>
              <c:strCache>
                <c:ptCount val="8"/>
                <c:pt idx="0">
                  <c:v>Образование, физическая культура и спорт, молодежная политика</c:v>
                </c:pt>
                <c:pt idx="1">
                  <c:v>Социальная поддержка населения</c:v>
                </c:pt>
                <c:pt idx="2">
                  <c:v>Культура и туризм</c:v>
                </c:pt>
                <c:pt idx="3">
                  <c:v>Содействие экономическому развитию</c:v>
                </c:pt>
                <c:pt idx="4">
                  <c:v>Жилищно-коммунальное хозяйство, инфраструктура</c:v>
                </c:pt>
                <c:pt idx="5">
                  <c:v>Обеспечение доступным и комфортным жильём </c:v>
                </c:pt>
                <c:pt idx="6">
                  <c:v>Безопасность жизнедеятельности</c:v>
                </c:pt>
                <c:pt idx="7">
                  <c:v>Организация муниципального управления </c:v>
                </c:pt>
              </c:strCache>
            </c:strRef>
          </c:cat>
          <c:val>
            <c:numRef>
              <c:f>'Отрасли '!$H$3:$H$10</c:f>
              <c:numCache>
                <c:formatCode>0.00</c:formatCode>
                <c:ptCount val="8"/>
                <c:pt idx="0">
                  <c:v>3310.29</c:v>
                </c:pt>
                <c:pt idx="1">
                  <c:v>1676.984291</c:v>
                </c:pt>
                <c:pt idx="2">
                  <c:v>323.35189700000001</c:v>
                </c:pt>
                <c:pt idx="3">
                  <c:v>3.5273459999999988</c:v>
                </c:pt>
                <c:pt idx="4">
                  <c:v>1264.8080682200002</c:v>
                </c:pt>
                <c:pt idx="5">
                  <c:v>125.42310796000002</c:v>
                </c:pt>
                <c:pt idx="6">
                  <c:v>18.947579999999977</c:v>
                </c:pt>
                <c:pt idx="7">
                  <c:v>137.93116000000001</c:v>
                </c:pt>
              </c:numCache>
            </c:numRef>
          </c:val>
        </c:ser>
      </c:pie3DChart>
    </c:plotArea>
    <c:legend>
      <c:legendPos val="r"/>
      <c:layout>
        <c:manualLayout>
          <c:xMode val="edge"/>
          <c:yMode val="edge"/>
          <c:x val="0.58879202811512954"/>
          <c:y val="0.19089086095763755"/>
          <c:w val="0.39193502698955157"/>
          <c:h val="0.7985981245543462"/>
        </c:manualLayout>
      </c:layout>
    </c:legend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>
                <a:latin typeface="Century Gothic" pitchFamily="34" charset="0"/>
              </a:defRPr>
            </a:pPr>
            <a:r>
              <a:rPr lang="ru-RU" sz="1200">
                <a:latin typeface="Century Gothic" pitchFamily="34" charset="0"/>
              </a:rPr>
              <a:t>Фактические объемы</a:t>
            </a:r>
            <a:r>
              <a:rPr lang="ru-RU" sz="1200" baseline="0">
                <a:latin typeface="Century Gothic" pitchFamily="34" charset="0"/>
              </a:rPr>
              <a:t> финансирования, млн.руб </a:t>
            </a:r>
            <a:endParaRPr lang="ru-RU" sz="1200">
              <a:latin typeface="Century Gothic" pitchFamily="34" charset="0"/>
            </a:endParaRPr>
          </a:p>
        </c:rich>
      </c:tx>
      <c:layout>
        <c:manualLayout>
          <c:xMode val="edge"/>
          <c:yMode val="edge"/>
          <c:x val="0.16345822397200349"/>
          <c:y val="5.6737614000162738E-3"/>
        </c:manualLayout>
      </c:layout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9.4250000000000209E-2"/>
          <c:y val="0.2013888888888889"/>
          <c:w val="0.51950131233595798"/>
          <c:h val="0.77314814814814936"/>
        </c:manualLayout>
      </c:layout>
      <c:pie3DChart>
        <c:varyColors val="1"/>
        <c:ser>
          <c:idx val="0"/>
          <c:order val="0"/>
          <c:explosion val="26"/>
          <c:dPt>
            <c:idx val="0"/>
            <c:explosion val="7"/>
          </c:dPt>
          <c:dPt>
            <c:idx val="1"/>
            <c:explosion val="13"/>
          </c:dPt>
          <c:dPt>
            <c:idx val="2"/>
            <c:explosion val="8"/>
          </c:dPt>
          <c:dPt>
            <c:idx val="3"/>
            <c:explosion val="0"/>
          </c:dPt>
          <c:dLbls>
            <c:showVal val="1"/>
            <c:showLeaderLines val="1"/>
          </c:dLbls>
          <c:cat>
            <c:strRef>
              <c:f>'Отрасли '!$G$37:$G$40</c:f>
              <c:strCache>
                <c:ptCount val="4"/>
                <c:pt idx="0">
                  <c:v>Городской бюджет </c:v>
                </c:pt>
                <c:pt idx="1">
                  <c:v>Областной бюджет </c:v>
                </c:pt>
                <c:pt idx="2">
                  <c:v>Федеральный бюджет </c:v>
                </c:pt>
                <c:pt idx="3">
                  <c:v>Другие источники </c:v>
                </c:pt>
              </c:strCache>
            </c:strRef>
          </c:cat>
          <c:val>
            <c:numRef>
              <c:f>'Отрасли '!$H$37:$H$40</c:f>
              <c:numCache>
                <c:formatCode>0.00</c:formatCode>
                <c:ptCount val="4"/>
                <c:pt idx="0">
                  <c:v>1793.2299605999999</c:v>
                </c:pt>
                <c:pt idx="1">
                  <c:v>3198.55</c:v>
                </c:pt>
                <c:pt idx="2">
                  <c:v>1559.6717213199986</c:v>
                </c:pt>
                <c:pt idx="3">
                  <c:v>90.427960000000027</c:v>
                </c:pt>
              </c:numCache>
            </c:numRef>
          </c:val>
        </c:ser>
      </c:pie3DChart>
    </c:plotArea>
    <c:legend>
      <c:legendPos val="r"/>
    </c:legend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621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ru-RU"/>
              <a:t>Коэффициент привлечения средств вышестоящих бюджетов</a:t>
            </a:r>
          </a:p>
        </c:rich>
      </c:tx>
    </c:title>
    <c:plotArea>
      <c:layout/>
      <c:lineChart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dLbl>
              <c:idx val="1"/>
              <c:layout>
                <c:manualLayout>
                  <c:x val="-4.2260961436872734E-3"/>
                  <c:y val="-5.3830227743271522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4.2260961436872704E-2"/>
                  <c:y val="-6.2111801242236399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2.1130480718436345E-2"/>
                  <c:y val="-6.2111801242236399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2.3243528790279997E-2"/>
                  <c:y val="-5.3830553789471956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4.014791336502898E-2"/>
                  <c:y val="-6.2111801242236399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4.2260961436872704E-2"/>
                  <c:y val="-4.5548654244306423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4.4374009508716512E-2"/>
                  <c:y val="-4.9689440993788823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2.4205748865355588E-2"/>
                  <c:y val="-3.9867109634551492E-2"/>
                </c:manualLayout>
              </c:layout>
              <c:showVal val="1"/>
            </c:dLbl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Val val="1"/>
          </c:dLbls>
          <c:cat>
            <c:numRef>
              <c:f>Лист1!$A$2:$A$12</c:f>
              <c:numCache>
                <c:formatCode>General</c:formatCode>
                <c:ptCount val="11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2021</c:v>
                </c:pt>
              </c:numCache>
            </c:numRef>
          </c:cat>
          <c:val>
            <c:numRef>
              <c:f>Лист1!$B$2:$B$12</c:f>
              <c:numCache>
                <c:formatCode>General</c:formatCode>
                <c:ptCount val="11"/>
                <c:pt idx="0">
                  <c:v>2.58</c:v>
                </c:pt>
                <c:pt idx="1">
                  <c:v>1.49</c:v>
                </c:pt>
                <c:pt idx="2">
                  <c:v>0.93</c:v>
                </c:pt>
                <c:pt idx="3">
                  <c:v>1.49</c:v>
                </c:pt>
                <c:pt idx="4">
                  <c:v>1.6</c:v>
                </c:pt>
                <c:pt idx="5">
                  <c:v>1.75</c:v>
                </c:pt>
                <c:pt idx="6">
                  <c:v>1.85</c:v>
                </c:pt>
                <c:pt idx="7">
                  <c:v>2.25</c:v>
                </c:pt>
                <c:pt idx="8">
                  <c:v>2.52</c:v>
                </c:pt>
                <c:pt idx="9">
                  <c:v>2.96</c:v>
                </c:pt>
                <c:pt idx="10">
                  <c:v>2.9</c:v>
                </c:pt>
              </c:numCache>
            </c:numRef>
          </c:val>
        </c:ser>
        <c:marker val="1"/>
        <c:axId val="66001536"/>
        <c:axId val="66027904"/>
      </c:lineChart>
      <c:catAx>
        <c:axId val="66001536"/>
        <c:scaling>
          <c:orientation val="minMax"/>
        </c:scaling>
        <c:axPos val="b"/>
        <c:numFmt formatCode="General" sourceLinked="1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66027904"/>
        <c:crosses val="autoZero"/>
        <c:auto val="1"/>
        <c:lblAlgn val="ctr"/>
        <c:lblOffset val="100"/>
      </c:catAx>
      <c:valAx>
        <c:axId val="66027904"/>
        <c:scaling>
          <c:orientation val="minMax"/>
        </c:scaling>
        <c:axPos val="l"/>
        <c:majorGridlines>
          <c:spPr>
            <a:ln w="0">
              <a:solidFill>
                <a:schemeClr val="bg1"/>
              </a:solidFill>
            </a:ln>
          </c:spPr>
        </c:majorGridlines>
        <c:numFmt formatCode="General" sourceLinked="1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66001536"/>
        <c:crosses val="autoZero"/>
        <c:crossBetween val="between"/>
      </c:valAx>
    </c:plotArea>
    <c:plotVisOnly val="1"/>
    <c:dispBlanksAs val="zero"/>
  </c:chart>
  <c:spPr>
    <a:ln>
      <a:noFill/>
    </a:ln>
  </c:spPr>
  <c:txPr>
    <a:bodyPr/>
    <a:lstStyle/>
    <a:p>
      <a:pPr>
        <a:defRPr sz="9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2020-01-01T00:00:00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F834C7E-603D-4167-A2A1-D0EFEFD12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7</Pages>
  <Words>1516</Words>
  <Characters>8644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О РЕАЛИЗАЦИИ МУНИЦИПАЛЬНЫХ И ВЕДОМСТВЕННЫХ ЦЕЛЕВЫХ ПРОГРАММ</vt:lpstr>
    </vt:vector>
  </TitlesOfParts>
  <Company>Управление экономического развития и инвестиций</Company>
  <LinksUpToDate>false</LinksUpToDate>
  <CharactersWithSpaces>10140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РЕАЛИЗАЦИИ МУНИЦИПАЛЬНЫХ И ВЕДОМСТВЕННЫХ ЦЕЛЕВЫХ ПРОГРАММ</dc:title>
  <dc:creator>pokrovskaya_ev</dc:creator>
  <cp:lastModifiedBy>lapshina_en</cp:lastModifiedBy>
  <cp:revision>36</cp:revision>
  <cp:lastPrinted>2022-03-31T12:29:00Z</cp:lastPrinted>
  <dcterms:created xsi:type="dcterms:W3CDTF">2022-03-31T07:53:00Z</dcterms:created>
  <dcterms:modified xsi:type="dcterms:W3CDTF">2022-04-01T07:29:00Z</dcterms:modified>
</cp:coreProperties>
</file>