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7" w:rightFromText="187" w:vertAnchor="page" w:horzAnchor="page" w:tblpX="1" w:tblpY="1"/>
        <w:tblW w:w="0" w:type="auto"/>
        <w:shd w:val="clear" w:color="auto" w:fill="FF7C80"/>
        <w:tblLook w:val="04A0"/>
      </w:tblPr>
      <w:tblGrid>
        <w:gridCol w:w="1440"/>
        <w:gridCol w:w="5614"/>
      </w:tblGrid>
      <w:tr w:rsidR="00074AB2" w:rsidTr="00074AB2">
        <w:trPr>
          <w:trHeight w:val="1440"/>
        </w:trPr>
        <w:tc>
          <w:tcPr>
            <w:tcW w:w="1440" w:type="dxa"/>
            <w:shd w:val="clear" w:color="auto" w:fill="4CAEAC"/>
          </w:tcPr>
          <w:p w:rsidR="00074AB2" w:rsidRDefault="00074AB2" w:rsidP="00074AB2"/>
        </w:tc>
        <w:sdt>
          <w:sdtPr>
            <w:rPr>
              <w:rFonts w:ascii="Century Gothic" w:eastAsiaTheme="majorEastAsia" w:hAnsi="Century Gothic" w:cstheme="majorBidi"/>
              <w:b/>
              <w:bCs/>
              <w:sz w:val="72"/>
              <w:szCs w:val="72"/>
            </w:rPr>
            <w:alias w:val="Год"/>
            <w:id w:val="3174691"/>
            <w:placeholder>
              <w:docPart w:val="C1BD003F80744F4B9A7F7E2FFAF29F5A"/>
            </w:placeholder>
            <w:dataBinding w:prefixMappings="xmlns:ns0='http://schemas.microsoft.com/office/2006/coverPageProps'" w:xpath="/ns0:CoverPageProperties[1]/ns0:PublishDate[1]" w:storeItemID="{55AF091B-3C7A-41E3-B477-F2FDAA23CFDA}"/>
            <w:date w:fullDate="2019-01-01T00:00:00Z">
              <w:dateFormat w:val="yyyy"/>
              <w:lid w:val="ru-RU"/>
              <w:storeMappedDataAs w:val="dateTime"/>
              <w:calendar w:val="gregorian"/>
            </w:date>
          </w:sdtPr>
          <w:sdtContent>
            <w:tc>
              <w:tcPr>
                <w:tcW w:w="5614" w:type="dxa"/>
                <w:shd w:val="clear" w:color="auto" w:fill="C0C0C0"/>
                <w:vAlign w:val="bottom"/>
              </w:tcPr>
              <w:p w:rsidR="00074AB2" w:rsidRPr="00074AB2" w:rsidRDefault="00074AB2" w:rsidP="00CB08F0">
                <w:pPr>
                  <w:pStyle w:val="ac"/>
                  <w:rPr>
                    <w:rFonts w:ascii="Century Gothic" w:eastAsiaTheme="majorEastAsia" w:hAnsi="Century Gothic" w:cstheme="majorBidi"/>
                    <w:b/>
                    <w:bCs/>
                    <w:sz w:val="72"/>
                    <w:szCs w:val="72"/>
                  </w:rPr>
                </w:pPr>
                <w:r w:rsidRPr="00074AB2">
                  <w:rPr>
                    <w:rFonts w:ascii="Century Gothic" w:eastAsiaTheme="majorEastAsia" w:hAnsi="Century Gothic" w:cstheme="majorBidi"/>
                    <w:b/>
                    <w:bCs/>
                    <w:sz w:val="72"/>
                    <w:szCs w:val="72"/>
                  </w:rPr>
                  <w:t>201</w:t>
                </w:r>
                <w:r w:rsidR="00CB08F0">
                  <w:rPr>
                    <w:rFonts w:ascii="Century Gothic" w:eastAsiaTheme="majorEastAsia" w:hAnsi="Century Gothic" w:cstheme="majorBidi"/>
                    <w:b/>
                    <w:bCs/>
                    <w:sz w:val="72"/>
                    <w:szCs w:val="72"/>
                  </w:rPr>
                  <w:t>9</w:t>
                </w:r>
              </w:p>
            </w:tc>
          </w:sdtContent>
        </w:sdt>
      </w:tr>
      <w:tr w:rsidR="00074AB2" w:rsidTr="00074AB2">
        <w:trPr>
          <w:trHeight w:val="2880"/>
        </w:trPr>
        <w:tc>
          <w:tcPr>
            <w:tcW w:w="1440" w:type="dxa"/>
            <w:shd w:val="clear" w:color="auto" w:fill="FF7C80"/>
          </w:tcPr>
          <w:p w:rsidR="00074AB2" w:rsidRDefault="00074AB2" w:rsidP="00074AB2"/>
        </w:tc>
        <w:tc>
          <w:tcPr>
            <w:tcW w:w="5614" w:type="dxa"/>
            <w:shd w:val="clear" w:color="auto" w:fill="auto"/>
            <w:vAlign w:val="center"/>
          </w:tcPr>
          <w:p w:rsidR="00074AB2" w:rsidRPr="00074AB2" w:rsidRDefault="00074AB2" w:rsidP="00074AB2">
            <w:pPr>
              <w:pStyle w:val="ac"/>
              <w:jc w:val="center"/>
              <w:rPr>
                <w:rFonts w:ascii="Century Gothic" w:hAnsi="Century Gothic"/>
                <w:sz w:val="28"/>
              </w:rPr>
            </w:pPr>
            <w:r w:rsidRPr="00074AB2">
              <w:rPr>
                <w:rFonts w:ascii="Century Gothic" w:hAnsi="Century Gothic"/>
                <w:sz w:val="28"/>
              </w:rPr>
              <w:t>Администрация городского округа город Рыбинск</w:t>
            </w:r>
          </w:p>
        </w:tc>
      </w:tr>
    </w:tbl>
    <w:sdt>
      <w:sdtPr>
        <w:id w:val="3174526"/>
        <w:docPartObj>
          <w:docPartGallery w:val="Cover Pages"/>
          <w:docPartUnique/>
        </w:docPartObj>
      </w:sdtPr>
      <w:sdtEndPr>
        <w:rPr>
          <w:rFonts w:ascii="Century Gothic" w:eastAsia="Times New Roman" w:hAnsi="Century Gothic" w:cs="Arial"/>
          <w:b/>
          <w:bCs/>
          <w:caps/>
          <w:sz w:val="24"/>
          <w:szCs w:val="24"/>
          <w:lang w:eastAsia="ru-RU"/>
        </w:rPr>
      </w:sdtEndPr>
      <w:sdtContent>
        <w:p w:rsidR="00ED262D" w:rsidRDefault="00ED262D"/>
        <w:p w:rsidR="00ED262D" w:rsidRDefault="00ED262D"/>
        <w:p w:rsidR="00ED262D" w:rsidRDefault="001F706D"/>
      </w:sdtContent>
    </w:sdt>
    <w:p w:rsidR="00E53688" w:rsidRDefault="00E53688">
      <w:pPr>
        <w:rPr>
          <w:rFonts w:ascii="Century Gothic" w:eastAsia="Times New Roman" w:hAnsi="Century Gothic" w:cs="Arial"/>
          <w:b/>
          <w:bCs/>
          <w:caps/>
          <w:sz w:val="24"/>
          <w:szCs w:val="24"/>
          <w:lang w:eastAsia="ru-RU"/>
        </w:rPr>
      </w:pPr>
    </w:p>
    <w:p w:rsidR="00E53688" w:rsidRDefault="00E53688">
      <w:pPr>
        <w:rPr>
          <w:rFonts w:ascii="Century Gothic" w:eastAsia="Times New Roman" w:hAnsi="Century Gothic" w:cs="Arial"/>
          <w:b/>
          <w:bCs/>
          <w:caps/>
          <w:sz w:val="24"/>
          <w:szCs w:val="24"/>
          <w:lang w:eastAsia="ru-RU"/>
        </w:rPr>
      </w:pPr>
    </w:p>
    <w:p w:rsidR="00E53688" w:rsidRDefault="00E53688">
      <w:pPr>
        <w:rPr>
          <w:rFonts w:ascii="Century Gothic" w:eastAsia="Times New Roman" w:hAnsi="Century Gothic" w:cs="Arial"/>
          <w:b/>
          <w:bCs/>
          <w:caps/>
          <w:sz w:val="24"/>
          <w:szCs w:val="24"/>
          <w:lang w:eastAsia="ru-RU"/>
        </w:rPr>
      </w:pPr>
    </w:p>
    <w:p w:rsidR="00E53688" w:rsidRDefault="00E53688">
      <w:pPr>
        <w:rPr>
          <w:rFonts w:ascii="Century Gothic" w:eastAsia="Times New Roman" w:hAnsi="Century Gothic" w:cs="Arial"/>
          <w:b/>
          <w:bCs/>
          <w:caps/>
          <w:sz w:val="24"/>
          <w:szCs w:val="24"/>
          <w:lang w:eastAsia="ru-RU"/>
        </w:rPr>
      </w:pPr>
    </w:p>
    <w:p w:rsidR="00074AB2" w:rsidRDefault="00074AB2" w:rsidP="00E53688">
      <w:pPr>
        <w:jc w:val="center"/>
        <w:rPr>
          <w:rFonts w:ascii="Century Gothic" w:eastAsia="Times New Roman" w:hAnsi="Century Gothic" w:cs="Arial"/>
          <w:bCs/>
          <w:caps/>
          <w:sz w:val="32"/>
          <w:szCs w:val="24"/>
          <w:lang w:eastAsia="ru-RU"/>
        </w:rPr>
      </w:pPr>
    </w:p>
    <w:p w:rsidR="00074AB2" w:rsidRDefault="00074AB2" w:rsidP="00E53688">
      <w:pPr>
        <w:jc w:val="center"/>
        <w:rPr>
          <w:rFonts w:ascii="Century Gothic" w:eastAsia="Times New Roman" w:hAnsi="Century Gothic" w:cs="Arial"/>
          <w:bCs/>
          <w:caps/>
          <w:sz w:val="32"/>
          <w:szCs w:val="24"/>
          <w:lang w:eastAsia="ru-RU"/>
        </w:rPr>
      </w:pPr>
    </w:p>
    <w:p w:rsidR="00074AB2" w:rsidRDefault="00074AB2" w:rsidP="00E53688">
      <w:pPr>
        <w:jc w:val="center"/>
        <w:rPr>
          <w:rFonts w:ascii="Century Gothic" w:eastAsia="Times New Roman" w:hAnsi="Century Gothic" w:cs="Arial"/>
          <w:bCs/>
          <w:caps/>
          <w:sz w:val="32"/>
          <w:szCs w:val="24"/>
          <w:lang w:eastAsia="ru-RU"/>
        </w:rPr>
      </w:pPr>
    </w:p>
    <w:p w:rsidR="002E0919" w:rsidRDefault="00E53688" w:rsidP="00215713">
      <w:pPr>
        <w:spacing w:after="0" w:line="240" w:lineRule="auto"/>
        <w:jc w:val="center"/>
        <w:rPr>
          <w:rFonts w:ascii="Century Gothic" w:eastAsia="Times New Roman" w:hAnsi="Century Gothic" w:cs="Arial"/>
          <w:bCs/>
          <w:caps/>
          <w:sz w:val="32"/>
          <w:szCs w:val="24"/>
          <w:lang w:eastAsia="ru-RU"/>
        </w:rPr>
      </w:pPr>
      <w:r w:rsidRPr="00ED262D">
        <w:rPr>
          <w:rFonts w:ascii="Century Gothic" w:eastAsia="Times New Roman" w:hAnsi="Century Gothic" w:cs="Arial"/>
          <w:bCs/>
          <w:caps/>
          <w:sz w:val="32"/>
          <w:szCs w:val="24"/>
          <w:lang w:eastAsia="ru-RU"/>
        </w:rPr>
        <w:t>ОТЧЕТ О РЕАЛИЗАЦИИ</w:t>
      </w:r>
      <w:r w:rsidR="00ED2F3D" w:rsidRPr="00ED2F3D">
        <w:rPr>
          <w:rFonts w:ascii="Century Gothic" w:eastAsia="Times New Roman" w:hAnsi="Century Gothic" w:cs="Arial"/>
          <w:bCs/>
          <w:caps/>
          <w:sz w:val="32"/>
          <w:szCs w:val="24"/>
          <w:lang w:eastAsia="ru-RU"/>
        </w:rPr>
        <w:t xml:space="preserve"> П</w:t>
      </w:r>
      <w:r w:rsidR="00ED2F3D">
        <w:rPr>
          <w:rFonts w:ascii="Century Gothic" w:eastAsia="Times New Roman" w:hAnsi="Century Gothic" w:cs="Arial"/>
          <w:bCs/>
          <w:caps/>
          <w:sz w:val="32"/>
          <w:szCs w:val="24"/>
          <w:lang w:eastAsia="ru-RU"/>
        </w:rPr>
        <w:t>рограммы</w:t>
      </w:r>
    </w:p>
    <w:p w:rsidR="00E53688" w:rsidRPr="00ED262D" w:rsidRDefault="00ED2F3D" w:rsidP="00215713">
      <w:pPr>
        <w:spacing w:after="0" w:line="240" w:lineRule="auto"/>
        <w:jc w:val="center"/>
        <w:rPr>
          <w:rFonts w:ascii="Century Gothic" w:eastAsia="Times New Roman" w:hAnsi="Century Gothic" w:cs="Arial"/>
          <w:bCs/>
          <w:caps/>
          <w:sz w:val="32"/>
          <w:szCs w:val="24"/>
          <w:lang w:eastAsia="ru-RU"/>
        </w:rPr>
      </w:pPr>
      <w:r>
        <w:rPr>
          <w:rFonts w:ascii="Century Gothic" w:eastAsia="Times New Roman" w:hAnsi="Century Gothic" w:cs="Arial"/>
          <w:bCs/>
          <w:caps/>
          <w:sz w:val="32"/>
          <w:szCs w:val="24"/>
          <w:lang w:eastAsia="ru-RU"/>
        </w:rPr>
        <w:t xml:space="preserve"> комплексного социально-экономического развития</w:t>
      </w:r>
      <w:r w:rsidR="006C241E">
        <w:rPr>
          <w:rFonts w:ascii="Century Gothic" w:eastAsia="Times New Roman" w:hAnsi="Century Gothic" w:cs="Arial"/>
          <w:bCs/>
          <w:caps/>
          <w:sz w:val="32"/>
          <w:szCs w:val="24"/>
          <w:lang w:eastAsia="ru-RU"/>
        </w:rPr>
        <w:t xml:space="preserve"> городского округа город Рыбинск</w:t>
      </w:r>
      <w:r w:rsidR="00215713">
        <w:rPr>
          <w:rFonts w:ascii="Century Gothic" w:eastAsia="Times New Roman" w:hAnsi="Century Gothic" w:cs="Arial"/>
          <w:bCs/>
          <w:caps/>
          <w:sz w:val="32"/>
          <w:szCs w:val="24"/>
          <w:lang w:eastAsia="ru-RU"/>
        </w:rPr>
        <w:t xml:space="preserve"> на 2016-2020 годы</w:t>
      </w:r>
      <w:r>
        <w:rPr>
          <w:rFonts w:ascii="Century Gothic" w:eastAsia="Times New Roman" w:hAnsi="Century Gothic" w:cs="Arial"/>
          <w:bCs/>
          <w:caps/>
          <w:sz w:val="32"/>
          <w:szCs w:val="24"/>
          <w:lang w:eastAsia="ru-RU"/>
        </w:rPr>
        <w:t>,</w:t>
      </w:r>
      <w:r w:rsidR="00E53688" w:rsidRPr="00ED262D">
        <w:rPr>
          <w:rFonts w:ascii="Century Gothic" w:eastAsia="Times New Roman" w:hAnsi="Century Gothic" w:cs="Arial"/>
          <w:bCs/>
          <w:caps/>
          <w:sz w:val="32"/>
          <w:szCs w:val="24"/>
          <w:lang w:eastAsia="ru-RU"/>
        </w:rPr>
        <w:t xml:space="preserve"> муниципальных и ведомственных целевых ПРОГРАММ </w:t>
      </w:r>
      <w:r w:rsidR="006C241E">
        <w:rPr>
          <w:rFonts w:ascii="Century Gothic" w:eastAsia="Times New Roman" w:hAnsi="Century Gothic" w:cs="Arial"/>
          <w:bCs/>
          <w:caps/>
          <w:sz w:val="32"/>
          <w:szCs w:val="24"/>
          <w:lang w:eastAsia="ru-RU"/>
        </w:rPr>
        <w:t xml:space="preserve">за </w:t>
      </w:r>
      <w:r w:rsidR="00E53688" w:rsidRPr="00ED262D">
        <w:rPr>
          <w:rFonts w:ascii="Century Gothic" w:eastAsia="Times New Roman" w:hAnsi="Century Gothic" w:cs="Arial"/>
          <w:bCs/>
          <w:caps/>
          <w:sz w:val="32"/>
          <w:szCs w:val="24"/>
          <w:lang w:eastAsia="ru-RU"/>
        </w:rPr>
        <w:t xml:space="preserve"> 201</w:t>
      </w:r>
      <w:r w:rsidR="00CB08F0">
        <w:rPr>
          <w:rFonts w:ascii="Century Gothic" w:eastAsia="Times New Roman" w:hAnsi="Century Gothic" w:cs="Arial"/>
          <w:bCs/>
          <w:caps/>
          <w:sz w:val="32"/>
          <w:szCs w:val="24"/>
          <w:lang w:eastAsia="ru-RU"/>
        </w:rPr>
        <w:t>8</w:t>
      </w:r>
      <w:r w:rsidR="00E53688" w:rsidRPr="00ED262D">
        <w:rPr>
          <w:rFonts w:ascii="Century Gothic" w:eastAsia="Times New Roman" w:hAnsi="Century Gothic" w:cs="Arial"/>
          <w:bCs/>
          <w:caps/>
          <w:sz w:val="32"/>
          <w:szCs w:val="24"/>
          <w:lang w:eastAsia="ru-RU"/>
        </w:rPr>
        <w:t xml:space="preserve"> ГОД</w:t>
      </w:r>
    </w:p>
    <w:p w:rsidR="00E53688" w:rsidRPr="00ED262D" w:rsidRDefault="00E53688">
      <w:pPr>
        <w:rPr>
          <w:rFonts w:ascii="Century Gothic" w:eastAsia="Times New Roman" w:hAnsi="Century Gothic" w:cs="Arial"/>
          <w:bCs/>
          <w:caps/>
          <w:sz w:val="32"/>
          <w:szCs w:val="24"/>
          <w:lang w:eastAsia="ru-RU"/>
        </w:rPr>
      </w:pPr>
    </w:p>
    <w:p w:rsidR="00E53688" w:rsidRDefault="00E53688">
      <w:pPr>
        <w:rPr>
          <w:rFonts w:ascii="Century Gothic" w:eastAsia="Times New Roman" w:hAnsi="Century Gothic" w:cs="Arial"/>
          <w:b/>
          <w:bCs/>
          <w:caps/>
          <w:sz w:val="24"/>
          <w:szCs w:val="24"/>
          <w:lang w:eastAsia="ru-RU"/>
        </w:rPr>
      </w:pPr>
    </w:p>
    <w:p w:rsidR="00E53688" w:rsidRDefault="00E53688">
      <w:pPr>
        <w:rPr>
          <w:rFonts w:ascii="Century Gothic" w:eastAsia="Times New Roman" w:hAnsi="Century Gothic" w:cs="Arial"/>
          <w:b/>
          <w:bCs/>
          <w:caps/>
          <w:sz w:val="24"/>
          <w:szCs w:val="24"/>
          <w:lang w:eastAsia="ru-RU"/>
        </w:rPr>
      </w:pPr>
    </w:p>
    <w:p w:rsidR="00E53688" w:rsidRDefault="00E53688">
      <w:pPr>
        <w:rPr>
          <w:rFonts w:ascii="Century Gothic" w:eastAsia="Times New Roman" w:hAnsi="Century Gothic" w:cs="Arial"/>
          <w:b/>
          <w:bCs/>
          <w:caps/>
          <w:sz w:val="24"/>
          <w:szCs w:val="24"/>
          <w:lang w:eastAsia="ru-RU"/>
        </w:rPr>
      </w:pPr>
    </w:p>
    <w:p w:rsidR="00E53688" w:rsidRDefault="00E53688">
      <w:pPr>
        <w:rPr>
          <w:rFonts w:ascii="Century Gothic" w:eastAsia="Times New Roman" w:hAnsi="Century Gothic" w:cs="Arial"/>
          <w:b/>
          <w:bCs/>
          <w:caps/>
          <w:sz w:val="24"/>
          <w:szCs w:val="24"/>
          <w:lang w:eastAsia="ru-RU"/>
        </w:rPr>
      </w:pPr>
    </w:p>
    <w:p w:rsidR="00E53688" w:rsidRDefault="00E53688">
      <w:pPr>
        <w:rPr>
          <w:rFonts w:ascii="Century Gothic" w:eastAsia="Times New Roman" w:hAnsi="Century Gothic" w:cs="Arial"/>
          <w:b/>
          <w:bCs/>
          <w:caps/>
          <w:sz w:val="24"/>
          <w:szCs w:val="24"/>
          <w:lang w:eastAsia="ru-RU"/>
        </w:rPr>
      </w:pPr>
    </w:p>
    <w:tbl>
      <w:tblPr>
        <w:tblStyle w:val="ab"/>
        <w:tblpPr w:leftFromText="180" w:rightFromText="180" w:vertAnchor="text" w:horzAnchor="margin" w:tblpY="2864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330"/>
        <w:gridCol w:w="2268"/>
      </w:tblGrid>
      <w:tr w:rsidR="00ED262D" w:rsidTr="00A36B5B">
        <w:trPr>
          <w:trHeight w:val="1277"/>
        </w:trPr>
        <w:tc>
          <w:tcPr>
            <w:tcW w:w="8330" w:type="dxa"/>
          </w:tcPr>
          <w:p w:rsidR="00ED262D" w:rsidRDefault="00ED262D" w:rsidP="002C28E8">
            <w:pPr>
              <w:jc w:val="center"/>
              <w:rPr>
                <w:rFonts w:ascii="Century Gothic" w:eastAsia="Times New Roman" w:hAnsi="Century Gothic" w:cs="Arial"/>
                <w:b/>
                <w:bCs/>
                <w:caps/>
                <w:sz w:val="24"/>
                <w:szCs w:val="24"/>
              </w:rPr>
            </w:pPr>
          </w:p>
          <w:p w:rsidR="00ED262D" w:rsidRDefault="00ED262D" w:rsidP="002C28E8">
            <w:pPr>
              <w:jc w:val="center"/>
              <w:rPr>
                <w:rFonts w:ascii="Century Gothic" w:eastAsia="Times New Roman" w:hAnsi="Century Gothic" w:cs="Arial"/>
                <w:b/>
                <w:bCs/>
                <w:caps/>
                <w:sz w:val="24"/>
                <w:szCs w:val="24"/>
              </w:rPr>
            </w:pPr>
          </w:p>
          <w:p w:rsidR="00ED262D" w:rsidRDefault="00ED262D" w:rsidP="002C28E8">
            <w:pPr>
              <w:jc w:val="center"/>
              <w:rPr>
                <w:rFonts w:ascii="Century Gothic" w:eastAsia="Times New Roman" w:hAnsi="Century Gothic" w:cs="Arial"/>
                <w:b/>
                <w:bCs/>
                <w:caps/>
                <w:sz w:val="24"/>
                <w:szCs w:val="24"/>
              </w:rPr>
            </w:pPr>
          </w:p>
          <w:p w:rsidR="00ED262D" w:rsidRDefault="00ED262D" w:rsidP="002C28E8">
            <w:pPr>
              <w:jc w:val="center"/>
              <w:rPr>
                <w:rFonts w:ascii="Century Gothic" w:eastAsia="Times New Roman" w:hAnsi="Century Gothic" w:cs="Arial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7C80"/>
          </w:tcPr>
          <w:p w:rsidR="00ED262D" w:rsidRDefault="00ED262D" w:rsidP="002C28E8">
            <w:pPr>
              <w:jc w:val="center"/>
              <w:rPr>
                <w:rFonts w:ascii="Century Gothic" w:eastAsia="Times New Roman" w:hAnsi="Century Gothic" w:cs="Arial"/>
                <w:b/>
                <w:bCs/>
                <w:caps/>
                <w:sz w:val="24"/>
                <w:szCs w:val="24"/>
              </w:rPr>
            </w:pPr>
          </w:p>
        </w:tc>
      </w:tr>
      <w:tr w:rsidR="00ED262D" w:rsidTr="002C28E8">
        <w:trPr>
          <w:trHeight w:val="954"/>
        </w:trPr>
        <w:tc>
          <w:tcPr>
            <w:tcW w:w="8330" w:type="dxa"/>
            <w:shd w:val="clear" w:color="auto" w:fill="C0C0C0"/>
          </w:tcPr>
          <w:p w:rsidR="00ED262D" w:rsidRPr="00A36B5B" w:rsidRDefault="00A36B5B" w:rsidP="002C28E8">
            <w:pPr>
              <w:jc w:val="center"/>
              <w:rPr>
                <w:rFonts w:ascii="Century Gothic" w:eastAsia="Times New Roman" w:hAnsi="Century Gothic" w:cs="Arial"/>
                <w:bCs/>
                <w:caps/>
                <w:sz w:val="28"/>
                <w:szCs w:val="24"/>
              </w:rPr>
            </w:pPr>
            <w:r w:rsidRPr="00A36B5B">
              <w:rPr>
                <w:rFonts w:ascii="Century Gothic" w:eastAsia="Times New Roman" w:hAnsi="Century Gothic" w:cs="Arial"/>
                <w:bCs/>
                <w:caps/>
                <w:sz w:val="24"/>
                <w:szCs w:val="24"/>
              </w:rPr>
              <w:t>Управление экономиче</w:t>
            </w:r>
            <w:r w:rsidR="00FB1667">
              <w:rPr>
                <w:rFonts w:ascii="Century Gothic" w:eastAsia="Times New Roman" w:hAnsi="Century Gothic" w:cs="Arial"/>
                <w:bCs/>
                <w:caps/>
                <w:sz w:val="24"/>
                <w:szCs w:val="24"/>
              </w:rPr>
              <w:t>с</w:t>
            </w:r>
            <w:r w:rsidRPr="00A36B5B">
              <w:rPr>
                <w:rFonts w:ascii="Century Gothic" w:eastAsia="Times New Roman" w:hAnsi="Century Gothic" w:cs="Arial"/>
                <w:bCs/>
                <w:caps/>
                <w:sz w:val="24"/>
                <w:szCs w:val="24"/>
              </w:rPr>
              <w:t>кого развития и инвестиций</w:t>
            </w:r>
          </w:p>
          <w:p w:rsidR="00ED262D" w:rsidRDefault="00ED262D" w:rsidP="002C28E8">
            <w:pPr>
              <w:jc w:val="center"/>
              <w:rPr>
                <w:rFonts w:ascii="Century Gothic" w:eastAsia="Times New Roman" w:hAnsi="Century Gothic" w:cs="Arial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4CAEAC"/>
          </w:tcPr>
          <w:p w:rsidR="00ED262D" w:rsidRDefault="00A36B5B" w:rsidP="002C28E8">
            <w:pPr>
              <w:jc w:val="center"/>
              <w:rPr>
                <w:rFonts w:ascii="Century Gothic" w:eastAsia="Times New Roman" w:hAnsi="Century Gothic" w:cs="Arial"/>
                <w:b/>
                <w:bCs/>
                <w:caps/>
                <w:sz w:val="24"/>
                <w:szCs w:val="24"/>
              </w:rPr>
            </w:pPr>
            <w:r w:rsidRPr="00074AB2">
              <w:rPr>
                <w:rFonts w:ascii="Century Gothic" w:eastAsia="Times New Roman" w:hAnsi="Century Gothic" w:cs="Arial"/>
                <w:b/>
                <w:bCs/>
                <w:caps/>
                <w:sz w:val="28"/>
                <w:szCs w:val="24"/>
              </w:rPr>
              <w:t>Рыбинск</w:t>
            </w:r>
          </w:p>
        </w:tc>
      </w:tr>
    </w:tbl>
    <w:p w:rsidR="00E53688" w:rsidRDefault="00E53688">
      <w:pPr>
        <w:rPr>
          <w:rFonts w:ascii="Century Gothic" w:eastAsia="Times New Roman" w:hAnsi="Century Gothic" w:cs="Arial"/>
          <w:b/>
          <w:bCs/>
          <w:caps/>
          <w:sz w:val="24"/>
          <w:szCs w:val="24"/>
          <w:lang w:eastAsia="ru-RU"/>
        </w:rPr>
      </w:pPr>
    </w:p>
    <w:p w:rsidR="00E53688" w:rsidRDefault="00E53688">
      <w:pPr>
        <w:rPr>
          <w:rFonts w:ascii="Century Gothic" w:eastAsia="Times New Roman" w:hAnsi="Century Gothic" w:cs="Arial"/>
          <w:b/>
          <w:bCs/>
          <w:caps/>
          <w:sz w:val="24"/>
          <w:szCs w:val="24"/>
          <w:lang w:eastAsia="ru-RU"/>
        </w:rPr>
      </w:pPr>
      <w:r>
        <w:rPr>
          <w:rFonts w:ascii="Century Gothic" w:eastAsia="Times New Roman" w:hAnsi="Century Gothic" w:cs="Arial"/>
          <w:b/>
          <w:bCs/>
          <w:caps/>
          <w:sz w:val="24"/>
          <w:szCs w:val="24"/>
          <w:lang w:eastAsia="ru-RU"/>
        </w:rPr>
        <w:br w:type="page"/>
      </w:r>
    </w:p>
    <w:p w:rsidR="008E5675" w:rsidRPr="00E779B7" w:rsidRDefault="00215713" w:rsidP="00FF3DCB">
      <w:pPr>
        <w:spacing w:after="0" w:line="240" w:lineRule="auto"/>
        <w:ind w:right="-1"/>
        <w:jc w:val="center"/>
        <w:rPr>
          <w:rFonts w:ascii="Century Gothic" w:eastAsia="Times New Roman" w:hAnsi="Century Gothic"/>
          <w:b/>
          <w:bCs/>
          <w:sz w:val="28"/>
          <w:szCs w:val="28"/>
          <w:lang w:eastAsia="ru-RU"/>
        </w:rPr>
      </w:pPr>
      <w:r>
        <w:rPr>
          <w:rFonts w:ascii="Century Gothic" w:eastAsia="Times New Roman" w:hAnsi="Century Gothic"/>
          <w:b/>
          <w:bCs/>
          <w:sz w:val="28"/>
          <w:szCs w:val="28"/>
          <w:lang w:eastAsia="ru-RU"/>
        </w:rPr>
        <w:lastRenderedPageBreak/>
        <w:t>Информация</w:t>
      </w:r>
      <w:r w:rsidR="008E5675" w:rsidRPr="00E779B7">
        <w:rPr>
          <w:rFonts w:ascii="Century Gothic" w:eastAsia="Times New Roman" w:hAnsi="Century Gothic"/>
          <w:b/>
          <w:bCs/>
          <w:sz w:val="28"/>
          <w:szCs w:val="28"/>
          <w:lang w:eastAsia="ru-RU"/>
        </w:rPr>
        <w:t xml:space="preserve"> </w:t>
      </w:r>
      <w:r w:rsidR="003829B1">
        <w:rPr>
          <w:rFonts w:ascii="Century Gothic" w:eastAsia="Times New Roman" w:hAnsi="Century Gothic"/>
          <w:b/>
          <w:bCs/>
          <w:sz w:val="28"/>
          <w:szCs w:val="28"/>
          <w:lang w:eastAsia="ru-RU"/>
        </w:rPr>
        <w:t>о реализации</w:t>
      </w:r>
      <w:r w:rsidR="008E5675" w:rsidRPr="00E779B7">
        <w:rPr>
          <w:rFonts w:ascii="Century Gothic" w:eastAsia="Times New Roman" w:hAnsi="Century Gothic"/>
          <w:b/>
          <w:bCs/>
          <w:sz w:val="28"/>
          <w:szCs w:val="28"/>
          <w:lang w:eastAsia="ru-RU"/>
        </w:rPr>
        <w:t xml:space="preserve"> </w:t>
      </w:r>
      <w:r>
        <w:rPr>
          <w:rFonts w:ascii="Century Gothic" w:eastAsia="Times New Roman" w:hAnsi="Century Gothic"/>
          <w:b/>
          <w:bCs/>
          <w:sz w:val="28"/>
          <w:szCs w:val="28"/>
          <w:lang w:eastAsia="ru-RU"/>
        </w:rPr>
        <w:t>П</w:t>
      </w:r>
      <w:r w:rsidR="008E5675" w:rsidRPr="00E779B7">
        <w:rPr>
          <w:rFonts w:ascii="Century Gothic" w:eastAsia="Times New Roman" w:hAnsi="Century Gothic"/>
          <w:b/>
          <w:bCs/>
          <w:sz w:val="28"/>
          <w:szCs w:val="28"/>
          <w:lang w:eastAsia="ru-RU"/>
        </w:rPr>
        <w:t>рограмм</w:t>
      </w:r>
      <w:r>
        <w:rPr>
          <w:rFonts w:ascii="Century Gothic" w:eastAsia="Times New Roman" w:hAnsi="Century Gothic"/>
          <w:b/>
          <w:bCs/>
          <w:sz w:val="28"/>
          <w:szCs w:val="28"/>
          <w:lang w:eastAsia="ru-RU"/>
        </w:rPr>
        <w:t>ы комплексного социально-экономического развития городского округа город Рыбинск на 2016-2020 годы</w:t>
      </w:r>
      <w:r w:rsidR="008E5675" w:rsidRPr="00E779B7">
        <w:rPr>
          <w:rFonts w:ascii="Century Gothic" w:eastAsia="Times New Roman" w:hAnsi="Century Gothic"/>
          <w:b/>
          <w:bCs/>
          <w:sz w:val="28"/>
          <w:szCs w:val="28"/>
          <w:lang w:eastAsia="ru-RU"/>
        </w:rPr>
        <w:t xml:space="preserve"> </w:t>
      </w:r>
      <w:r>
        <w:rPr>
          <w:rFonts w:ascii="Century Gothic" w:eastAsia="Times New Roman" w:hAnsi="Century Gothic"/>
          <w:b/>
          <w:bCs/>
          <w:sz w:val="28"/>
          <w:szCs w:val="28"/>
          <w:lang w:eastAsia="ru-RU"/>
        </w:rPr>
        <w:t>(Программа-2020) за</w:t>
      </w:r>
      <w:r w:rsidR="008E5675" w:rsidRPr="00E779B7">
        <w:rPr>
          <w:rFonts w:ascii="Century Gothic" w:eastAsia="Times New Roman" w:hAnsi="Century Gothic"/>
          <w:b/>
          <w:bCs/>
          <w:sz w:val="28"/>
          <w:szCs w:val="28"/>
          <w:lang w:eastAsia="ru-RU"/>
        </w:rPr>
        <w:t xml:space="preserve"> 201</w:t>
      </w:r>
      <w:r w:rsidR="00CB08F0">
        <w:rPr>
          <w:rFonts w:ascii="Century Gothic" w:eastAsia="Times New Roman" w:hAnsi="Century Gothic"/>
          <w:b/>
          <w:bCs/>
          <w:sz w:val="28"/>
          <w:szCs w:val="28"/>
          <w:lang w:eastAsia="ru-RU"/>
        </w:rPr>
        <w:t>8</w:t>
      </w:r>
      <w:r w:rsidR="008E5675" w:rsidRPr="00E779B7">
        <w:rPr>
          <w:rFonts w:ascii="Century Gothic" w:eastAsia="Times New Roman" w:hAnsi="Century Gothic"/>
          <w:b/>
          <w:bCs/>
          <w:sz w:val="28"/>
          <w:szCs w:val="28"/>
          <w:lang w:eastAsia="ru-RU"/>
        </w:rPr>
        <w:t xml:space="preserve"> год</w:t>
      </w:r>
    </w:p>
    <w:p w:rsidR="008B21AD" w:rsidRPr="006277E3" w:rsidRDefault="008B21AD" w:rsidP="00FF3DCB">
      <w:pPr>
        <w:spacing w:after="0" w:line="240" w:lineRule="auto"/>
        <w:ind w:right="-1"/>
        <w:jc w:val="center"/>
        <w:rPr>
          <w:rFonts w:ascii="Century Gothic" w:eastAsia="Times New Roman" w:hAnsi="Century Gothic"/>
          <w:b/>
          <w:bCs/>
          <w:sz w:val="24"/>
          <w:szCs w:val="24"/>
          <w:lang w:eastAsia="ru-RU"/>
        </w:rPr>
      </w:pPr>
    </w:p>
    <w:p w:rsidR="001458BA" w:rsidRPr="001458BA" w:rsidRDefault="001458BA" w:rsidP="001458BA">
      <w:pPr>
        <w:spacing w:after="0" w:line="240" w:lineRule="auto"/>
        <w:ind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 w:rsidRPr="001458BA">
        <w:rPr>
          <w:rFonts w:ascii="Century Gothic" w:eastAsia="Times New Roman" w:hAnsi="Century Gothic"/>
          <w:sz w:val="24"/>
          <w:szCs w:val="24"/>
          <w:lang w:eastAsia="ru-RU"/>
        </w:rPr>
        <w:t xml:space="preserve">Ежегодный мониторинг выполнения Программы-2020 проведен в рамках оценки степени достижения планируемых на 2018 год значений 50 индикаторов. Средний уровень достижения планируемых значений индикаторов – 89,4 % (за 2017 год - 93,4 %,  за 2016 год – 97,1%), в т.ч. по приоритетам Программы -2020: </w:t>
      </w:r>
    </w:p>
    <w:p w:rsidR="001458BA" w:rsidRPr="001458BA" w:rsidRDefault="001458BA" w:rsidP="001458BA">
      <w:pPr>
        <w:spacing w:after="0" w:line="240" w:lineRule="auto"/>
        <w:ind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 w:rsidRPr="001458BA">
        <w:rPr>
          <w:rFonts w:ascii="Century Gothic" w:eastAsia="Times New Roman" w:hAnsi="Century Gothic"/>
          <w:sz w:val="24"/>
          <w:szCs w:val="24"/>
          <w:lang w:val="en-US" w:eastAsia="ru-RU"/>
        </w:rPr>
        <w:t>I</w:t>
      </w:r>
      <w:r w:rsidRPr="001458BA">
        <w:rPr>
          <w:rFonts w:ascii="Century Gothic" w:eastAsia="Times New Roman" w:hAnsi="Century Gothic"/>
          <w:sz w:val="24"/>
          <w:szCs w:val="24"/>
          <w:lang w:eastAsia="ru-RU"/>
        </w:rPr>
        <w:t xml:space="preserve"> – Сокращение темпов общей численности населения, прекращение миграционной убыли населения – 79,7 % ( за 2017 год - 84,8 %, за 2016 год - 95,1 %);</w:t>
      </w:r>
    </w:p>
    <w:p w:rsidR="001458BA" w:rsidRPr="001458BA" w:rsidRDefault="001458BA" w:rsidP="001458BA">
      <w:pPr>
        <w:spacing w:after="0" w:line="240" w:lineRule="auto"/>
        <w:ind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 w:rsidRPr="001458BA">
        <w:rPr>
          <w:rFonts w:ascii="Century Gothic" w:eastAsia="Times New Roman" w:hAnsi="Century Gothic"/>
          <w:sz w:val="24"/>
          <w:szCs w:val="24"/>
          <w:lang w:val="en-US" w:eastAsia="ru-RU"/>
        </w:rPr>
        <w:t>II</w:t>
      </w:r>
      <w:r w:rsidRPr="001458BA">
        <w:rPr>
          <w:rFonts w:ascii="Century Gothic" w:eastAsia="Times New Roman" w:hAnsi="Century Gothic"/>
          <w:sz w:val="24"/>
          <w:szCs w:val="24"/>
          <w:lang w:eastAsia="ru-RU"/>
        </w:rPr>
        <w:t xml:space="preserve"> – Укрепление экономического базиса, развитие научно-производственного (инновационного), инвестиционного потенциала – 104,1 % (за 2017 год - 99,9 %, за 2016 год - 98,3 %);</w:t>
      </w:r>
    </w:p>
    <w:p w:rsidR="001458BA" w:rsidRPr="001458BA" w:rsidRDefault="001458BA" w:rsidP="001458BA">
      <w:pPr>
        <w:spacing w:after="0" w:line="240" w:lineRule="auto"/>
        <w:ind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 w:rsidRPr="001458BA">
        <w:rPr>
          <w:rFonts w:ascii="Century Gothic" w:eastAsia="Times New Roman" w:hAnsi="Century Gothic"/>
          <w:sz w:val="24"/>
          <w:szCs w:val="24"/>
          <w:lang w:eastAsia="ru-RU"/>
        </w:rPr>
        <w:t>I</w:t>
      </w:r>
      <w:proofErr w:type="spellStart"/>
      <w:r w:rsidRPr="001458BA">
        <w:rPr>
          <w:rFonts w:ascii="Century Gothic" w:eastAsia="Times New Roman" w:hAnsi="Century Gothic"/>
          <w:sz w:val="24"/>
          <w:szCs w:val="24"/>
          <w:lang w:val="en-US" w:eastAsia="ru-RU"/>
        </w:rPr>
        <w:t>I</w:t>
      </w:r>
      <w:r w:rsidRPr="001458BA">
        <w:rPr>
          <w:rFonts w:ascii="Century Gothic" w:eastAsia="Times New Roman" w:hAnsi="Century Gothic"/>
          <w:sz w:val="24"/>
          <w:szCs w:val="24"/>
          <w:lang w:eastAsia="ru-RU"/>
        </w:rPr>
        <w:t>I</w:t>
      </w:r>
      <w:proofErr w:type="spellEnd"/>
      <w:r w:rsidRPr="001458BA">
        <w:rPr>
          <w:rFonts w:ascii="Century Gothic" w:eastAsia="Times New Roman" w:hAnsi="Century Gothic"/>
          <w:sz w:val="24"/>
          <w:szCs w:val="24"/>
          <w:lang w:eastAsia="ru-RU"/>
        </w:rPr>
        <w:t xml:space="preserve"> – Развитие социальной сферы – 106,2 % (за 2017 год - 104,6 %, за 2016 год - 99,6%);</w:t>
      </w:r>
    </w:p>
    <w:p w:rsidR="001458BA" w:rsidRPr="001458BA" w:rsidRDefault="001458BA" w:rsidP="001458BA">
      <w:pPr>
        <w:spacing w:after="0" w:line="240" w:lineRule="auto"/>
        <w:ind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 w:rsidRPr="001458BA">
        <w:rPr>
          <w:rFonts w:ascii="Century Gothic" w:eastAsia="Times New Roman" w:hAnsi="Century Gothic"/>
          <w:sz w:val="24"/>
          <w:szCs w:val="24"/>
          <w:lang w:val="en-US" w:eastAsia="ru-RU"/>
        </w:rPr>
        <w:t>IV</w:t>
      </w:r>
      <w:r w:rsidRPr="001458BA">
        <w:rPr>
          <w:rFonts w:ascii="Century Gothic" w:eastAsia="Times New Roman" w:hAnsi="Century Gothic"/>
          <w:sz w:val="24"/>
          <w:szCs w:val="24"/>
          <w:lang w:eastAsia="ru-RU"/>
        </w:rPr>
        <w:t xml:space="preserve"> – Жилищно-коммунальное хозяйство, инфраструктура, благоустройство –102,5 % (за 2017 год - 107,9 %, за 2016 год - 101,4%);</w:t>
      </w:r>
    </w:p>
    <w:p w:rsidR="001458BA" w:rsidRPr="001458BA" w:rsidRDefault="001458BA" w:rsidP="001458BA">
      <w:pPr>
        <w:spacing w:after="0" w:line="240" w:lineRule="auto"/>
        <w:ind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 w:rsidRPr="001458BA">
        <w:rPr>
          <w:rFonts w:ascii="Century Gothic" w:eastAsia="Times New Roman" w:hAnsi="Century Gothic"/>
          <w:sz w:val="24"/>
          <w:szCs w:val="24"/>
          <w:lang w:val="en-US" w:eastAsia="ru-RU"/>
        </w:rPr>
        <w:t>V</w:t>
      </w:r>
      <w:r w:rsidRPr="001458BA">
        <w:rPr>
          <w:rFonts w:ascii="Century Gothic" w:eastAsia="Times New Roman" w:hAnsi="Century Gothic"/>
          <w:sz w:val="24"/>
          <w:szCs w:val="24"/>
          <w:lang w:eastAsia="ru-RU"/>
        </w:rPr>
        <w:t xml:space="preserve"> – Строительство, комфортное и доступное жилье –76,8 % (за 2017 год - 83,7 %, за 2016 год - 92,5 %);</w:t>
      </w:r>
    </w:p>
    <w:p w:rsidR="001458BA" w:rsidRPr="001458BA" w:rsidRDefault="001458BA" w:rsidP="001458BA">
      <w:pPr>
        <w:spacing w:after="0" w:line="240" w:lineRule="auto"/>
        <w:ind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 w:rsidRPr="001458BA">
        <w:rPr>
          <w:rFonts w:ascii="Century Gothic" w:eastAsia="Times New Roman" w:hAnsi="Century Gothic"/>
          <w:sz w:val="24"/>
          <w:szCs w:val="24"/>
          <w:lang w:eastAsia="ru-RU"/>
        </w:rPr>
        <w:t>VI – Социальная поддержка граждан в сфере обеспечения жильем – 56,5 % (за 2017 год - 70,7 %, за 2016 год - 91,0 %);</w:t>
      </w:r>
    </w:p>
    <w:p w:rsidR="001458BA" w:rsidRPr="001458BA" w:rsidRDefault="001458BA" w:rsidP="001458BA">
      <w:pPr>
        <w:spacing w:after="0" w:line="240" w:lineRule="auto"/>
        <w:ind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 w:rsidRPr="001458BA">
        <w:rPr>
          <w:rFonts w:ascii="Century Gothic" w:eastAsia="Times New Roman" w:hAnsi="Century Gothic"/>
          <w:sz w:val="24"/>
          <w:szCs w:val="24"/>
          <w:lang w:val="en-US" w:eastAsia="ru-RU"/>
        </w:rPr>
        <w:t>VII</w:t>
      </w:r>
      <w:r w:rsidRPr="001458BA">
        <w:rPr>
          <w:rFonts w:ascii="Century Gothic" w:eastAsia="Times New Roman" w:hAnsi="Century Gothic"/>
          <w:sz w:val="24"/>
          <w:szCs w:val="24"/>
          <w:lang w:eastAsia="ru-RU"/>
        </w:rPr>
        <w:t xml:space="preserve"> – Совершенствование органов местного самоуправления, эффективное взаимодействие власти и общества –100,0 % (за 2017 год - 101,9 %, за 2016  год - 101,9 %).</w:t>
      </w:r>
    </w:p>
    <w:p w:rsidR="001458BA" w:rsidRPr="001458BA" w:rsidRDefault="001458BA" w:rsidP="001458BA">
      <w:pPr>
        <w:spacing w:after="0" w:line="240" w:lineRule="auto"/>
        <w:ind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 w:rsidRPr="001458BA">
        <w:rPr>
          <w:rFonts w:ascii="Century Gothic" w:eastAsia="Times New Roman" w:hAnsi="Century Gothic"/>
          <w:sz w:val="24"/>
          <w:szCs w:val="24"/>
          <w:lang w:eastAsia="ru-RU"/>
        </w:rPr>
        <w:t xml:space="preserve">По 42,0% (21) индикаторов достигнуто выполнение плановых значений; невыполнение – по 54,0% (27); нет динамики по 4,0 % (2). </w:t>
      </w:r>
    </w:p>
    <w:p w:rsidR="001458BA" w:rsidRPr="001458BA" w:rsidRDefault="001458BA" w:rsidP="001458BA">
      <w:pPr>
        <w:spacing w:after="0" w:line="240" w:lineRule="auto"/>
        <w:ind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</w:p>
    <w:p w:rsidR="001458BA" w:rsidRPr="001458BA" w:rsidRDefault="001458BA" w:rsidP="001458BA">
      <w:pPr>
        <w:spacing w:after="0" w:line="240" w:lineRule="auto"/>
        <w:ind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 w:rsidRPr="001458BA">
        <w:rPr>
          <w:rFonts w:ascii="Century Gothic" w:eastAsia="Times New Roman" w:hAnsi="Century Gothic"/>
          <w:sz w:val="24"/>
          <w:szCs w:val="24"/>
          <w:lang w:eastAsia="ru-RU"/>
        </w:rPr>
        <w:t xml:space="preserve">Интегральный уровень результативности выполнения Программы – 2020 в 2018 году рассчитан на основе анализа степени достижения плановых значений 15 индикаторов, напрямую влияющих на уровень и качество жизни населения города: </w:t>
      </w:r>
    </w:p>
    <w:p w:rsidR="001458BA" w:rsidRPr="001458BA" w:rsidRDefault="001458BA" w:rsidP="001458BA">
      <w:pPr>
        <w:spacing w:after="0" w:line="240" w:lineRule="auto"/>
        <w:ind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 w:rsidRPr="001458BA">
        <w:rPr>
          <w:rFonts w:ascii="Century Gothic" w:eastAsia="Times New Roman" w:hAnsi="Century Gothic"/>
          <w:sz w:val="24"/>
          <w:szCs w:val="24"/>
          <w:lang w:eastAsia="ru-RU"/>
        </w:rPr>
        <w:t>-  коэффициент рождаемости (76,0%)</w:t>
      </w:r>
      <w:proofErr w:type="gramStart"/>
      <w:r w:rsidRPr="001458BA">
        <w:rPr>
          <w:rFonts w:ascii="Century Gothic" w:eastAsia="Times New Roman" w:hAnsi="Century Gothic"/>
          <w:sz w:val="24"/>
          <w:szCs w:val="24"/>
          <w:lang w:eastAsia="ru-RU"/>
        </w:rPr>
        <w:t xml:space="preserve"> ;</w:t>
      </w:r>
      <w:proofErr w:type="gramEnd"/>
    </w:p>
    <w:p w:rsidR="001458BA" w:rsidRPr="001458BA" w:rsidRDefault="001458BA" w:rsidP="001458BA">
      <w:pPr>
        <w:spacing w:after="0" w:line="240" w:lineRule="auto"/>
        <w:ind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 w:rsidRPr="001458BA">
        <w:rPr>
          <w:rFonts w:ascii="Century Gothic" w:eastAsia="Times New Roman" w:hAnsi="Century Gothic"/>
          <w:sz w:val="24"/>
          <w:szCs w:val="24"/>
          <w:lang w:eastAsia="ru-RU"/>
        </w:rPr>
        <w:t>-  коэффициент смертности (98,8%)</w:t>
      </w:r>
      <w:proofErr w:type="gramStart"/>
      <w:r w:rsidRPr="001458BA">
        <w:rPr>
          <w:rFonts w:ascii="Century Gothic" w:eastAsia="Times New Roman" w:hAnsi="Century Gothic"/>
          <w:sz w:val="24"/>
          <w:szCs w:val="24"/>
          <w:lang w:eastAsia="ru-RU"/>
        </w:rPr>
        <w:t xml:space="preserve"> ;</w:t>
      </w:r>
      <w:proofErr w:type="gramEnd"/>
    </w:p>
    <w:p w:rsidR="001458BA" w:rsidRPr="001458BA" w:rsidRDefault="001458BA" w:rsidP="001458BA">
      <w:pPr>
        <w:spacing w:after="0" w:line="240" w:lineRule="auto"/>
        <w:ind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 w:rsidRPr="001458BA">
        <w:rPr>
          <w:rFonts w:ascii="Century Gothic" w:eastAsia="Times New Roman" w:hAnsi="Century Gothic"/>
          <w:sz w:val="24"/>
          <w:szCs w:val="24"/>
          <w:lang w:eastAsia="ru-RU"/>
        </w:rPr>
        <w:t>- среднемесячная начисленная заработная плата по крупным, средним и малым предприятиям и организациям (103,3%);</w:t>
      </w:r>
    </w:p>
    <w:p w:rsidR="001458BA" w:rsidRPr="001458BA" w:rsidRDefault="001458BA" w:rsidP="001458BA">
      <w:pPr>
        <w:spacing w:after="0" w:line="240" w:lineRule="auto"/>
        <w:ind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 w:rsidRPr="001458BA">
        <w:rPr>
          <w:rFonts w:ascii="Century Gothic" w:eastAsia="Times New Roman" w:hAnsi="Century Gothic"/>
          <w:sz w:val="24"/>
          <w:szCs w:val="24"/>
          <w:lang w:eastAsia="ru-RU"/>
        </w:rPr>
        <w:t>- среднесписочная численность работающих на крупных, средних и малых предприятиях(93,1%)</w:t>
      </w:r>
      <w:proofErr w:type="gramStart"/>
      <w:r w:rsidRPr="001458BA">
        <w:rPr>
          <w:rFonts w:ascii="Century Gothic" w:eastAsia="Times New Roman" w:hAnsi="Century Gothic"/>
          <w:sz w:val="24"/>
          <w:szCs w:val="24"/>
          <w:lang w:eastAsia="ru-RU"/>
        </w:rPr>
        <w:t xml:space="preserve"> ;</w:t>
      </w:r>
      <w:proofErr w:type="gramEnd"/>
    </w:p>
    <w:p w:rsidR="001458BA" w:rsidRPr="001458BA" w:rsidRDefault="001458BA" w:rsidP="001458BA">
      <w:pPr>
        <w:spacing w:after="0" w:line="240" w:lineRule="auto"/>
        <w:ind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 w:rsidRPr="001458BA">
        <w:rPr>
          <w:rFonts w:ascii="Century Gothic" w:eastAsia="Times New Roman" w:hAnsi="Century Gothic"/>
          <w:sz w:val="24"/>
          <w:szCs w:val="24"/>
          <w:lang w:eastAsia="ru-RU"/>
        </w:rPr>
        <w:t>- уровень регистрируемой безработицы (142,1%)</w:t>
      </w:r>
      <w:proofErr w:type="gramStart"/>
      <w:r w:rsidRPr="001458BA">
        <w:rPr>
          <w:rFonts w:ascii="Century Gothic" w:eastAsia="Times New Roman" w:hAnsi="Century Gothic"/>
          <w:sz w:val="24"/>
          <w:szCs w:val="24"/>
          <w:lang w:eastAsia="ru-RU"/>
        </w:rPr>
        <w:t xml:space="preserve"> ;</w:t>
      </w:r>
      <w:proofErr w:type="gramEnd"/>
    </w:p>
    <w:p w:rsidR="001458BA" w:rsidRPr="001458BA" w:rsidRDefault="001458BA" w:rsidP="001458BA">
      <w:pPr>
        <w:spacing w:after="0" w:line="240" w:lineRule="auto"/>
        <w:ind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 w:rsidRPr="001458BA">
        <w:rPr>
          <w:rFonts w:ascii="Century Gothic" w:eastAsia="Times New Roman" w:hAnsi="Century Gothic"/>
          <w:sz w:val="24"/>
          <w:szCs w:val="24"/>
          <w:lang w:eastAsia="ru-RU"/>
        </w:rPr>
        <w:t>- инвестиции в основной капитал за счет всех источников финансирования (50,6%);</w:t>
      </w:r>
    </w:p>
    <w:p w:rsidR="001458BA" w:rsidRPr="001458BA" w:rsidRDefault="001458BA" w:rsidP="001458BA">
      <w:pPr>
        <w:spacing w:after="0" w:line="240" w:lineRule="auto"/>
        <w:ind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 w:rsidRPr="001458BA">
        <w:rPr>
          <w:rFonts w:ascii="Century Gothic" w:eastAsia="Times New Roman" w:hAnsi="Century Gothic"/>
          <w:sz w:val="24"/>
          <w:szCs w:val="24"/>
          <w:lang w:eastAsia="ru-RU"/>
        </w:rPr>
        <w:t>- доля детей в возрасте 1-6 лет, получающих услуги в дошкольных образовательных учреждениях, от общей численности детей в возрасте 1-6 лет(96,4%);</w:t>
      </w:r>
    </w:p>
    <w:p w:rsidR="001458BA" w:rsidRPr="001458BA" w:rsidRDefault="001458BA" w:rsidP="001458BA">
      <w:pPr>
        <w:spacing w:after="0" w:line="240" w:lineRule="auto"/>
        <w:ind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 w:rsidRPr="001458BA">
        <w:rPr>
          <w:rFonts w:ascii="Century Gothic" w:eastAsia="Times New Roman" w:hAnsi="Century Gothic"/>
          <w:sz w:val="24"/>
          <w:szCs w:val="24"/>
          <w:lang w:eastAsia="ru-RU"/>
        </w:rPr>
        <w:t xml:space="preserve">- удельный вес населения, систематически </w:t>
      </w:r>
      <w:proofErr w:type="gramStart"/>
      <w:r w:rsidRPr="001458BA">
        <w:rPr>
          <w:rFonts w:ascii="Century Gothic" w:eastAsia="Times New Roman" w:hAnsi="Century Gothic"/>
          <w:sz w:val="24"/>
          <w:szCs w:val="24"/>
          <w:lang w:eastAsia="ru-RU"/>
        </w:rPr>
        <w:t>занимающегося</w:t>
      </w:r>
      <w:proofErr w:type="gramEnd"/>
      <w:r w:rsidRPr="001458BA">
        <w:rPr>
          <w:rFonts w:ascii="Century Gothic" w:eastAsia="Times New Roman" w:hAnsi="Century Gothic"/>
          <w:sz w:val="24"/>
          <w:szCs w:val="24"/>
          <w:lang w:eastAsia="ru-RU"/>
        </w:rPr>
        <w:t xml:space="preserve"> физической культурой и спортом (111,9%);</w:t>
      </w:r>
    </w:p>
    <w:p w:rsidR="001458BA" w:rsidRPr="001458BA" w:rsidRDefault="001458BA" w:rsidP="001458BA">
      <w:pPr>
        <w:spacing w:after="0" w:line="240" w:lineRule="auto"/>
        <w:ind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 w:rsidRPr="001458BA">
        <w:rPr>
          <w:rFonts w:ascii="Century Gothic" w:eastAsia="Times New Roman" w:hAnsi="Century Gothic"/>
          <w:sz w:val="24"/>
          <w:szCs w:val="24"/>
          <w:lang w:eastAsia="ru-RU"/>
        </w:rPr>
        <w:t>- доля населения в возрасте 14-30 лет, участвующего в мероприятиях молодежной направленности/количество участников (117,9%);</w:t>
      </w:r>
    </w:p>
    <w:p w:rsidR="001458BA" w:rsidRPr="001458BA" w:rsidRDefault="001458BA" w:rsidP="001458BA">
      <w:pPr>
        <w:spacing w:after="0" w:line="240" w:lineRule="auto"/>
        <w:ind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 w:rsidRPr="001458BA">
        <w:rPr>
          <w:rFonts w:ascii="Century Gothic" w:eastAsia="Times New Roman" w:hAnsi="Century Gothic"/>
          <w:sz w:val="24"/>
          <w:szCs w:val="24"/>
          <w:lang w:eastAsia="ru-RU"/>
        </w:rPr>
        <w:t>- количество принятых туристов (112,1%);</w:t>
      </w:r>
    </w:p>
    <w:p w:rsidR="001458BA" w:rsidRPr="001458BA" w:rsidRDefault="001458BA" w:rsidP="001458BA">
      <w:pPr>
        <w:spacing w:after="0" w:line="240" w:lineRule="auto"/>
        <w:ind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 w:rsidRPr="001458BA">
        <w:rPr>
          <w:rFonts w:ascii="Century Gothic" w:eastAsia="Times New Roman" w:hAnsi="Century Gothic"/>
          <w:sz w:val="24"/>
          <w:szCs w:val="24"/>
          <w:lang w:eastAsia="ru-RU"/>
        </w:rPr>
        <w:lastRenderedPageBreak/>
        <w:t>- снижение общего количества зарегистрированных преступлений (110,2%);</w:t>
      </w:r>
    </w:p>
    <w:p w:rsidR="001458BA" w:rsidRPr="001458BA" w:rsidRDefault="001458BA" w:rsidP="001458BA">
      <w:pPr>
        <w:spacing w:after="0" w:line="240" w:lineRule="auto"/>
        <w:ind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 w:rsidRPr="001458BA">
        <w:rPr>
          <w:rFonts w:ascii="Century Gothic" w:eastAsia="Times New Roman" w:hAnsi="Century Gothic"/>
          <w:sz w:val="24"/>
          <w:szCs w:val="24"/>
          <w:lang w:eastAsia="ru-RU"/>
        </w:rPr>
        <w:t>- общая протяженность автомобильных дорог общего пользования местного значения с твердым покрытием (99,8%);</w:t>
      </w:r>
    </w:p>
    <w:p w:rsidR="001458BA" w:rsidRPr="001458BA" w:rsidRDefault="001458BA" w:rsidP="001458BA">
      <w:pPr>
        <w:spacing w:after="0" w:line="240" w:lineRule="auto"/>
        <w:ind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 w:rsidRPr="001458BA">
        <w:rPr>
          <w:rFonts w:ascii="Century Gothic" w:eastAsia="Times New Roman" w:hAnsi="Century Gothic"/>
          <w:sz w:val="24"/>
          <w:szCs w:val="24"/>
          <w:lang w:eastAsia="ru-RU"/>
        </w:rPr>
        <w:t>- степень износа сетей коммунальной инфраструктуры (97,5%);</w:t>
      </w:r>
    </w:p>
    <w:p w:rsidR="001458BA" w:rsidRPr="001458BA" w:rsidRDefault="001458BA" w:rsidP="001458BA">
      <w:pPr>
        <w:spacing w:after="0" w:line="240" w:lineRule="auto"/>
        <w:ind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 w:rsidRPr="001458BA">
        <w:rPr>
          <w:rFonts w:ascii="Century Gothic" w:eastAsia="Times New Roman" w:hAnsi="Century Gothic"/>
          <w:sz w:val="24"/>
          <w:szCs w:val="24"/>
          <w:lang w:eastAsia="ru-RU"/>
        </w:rPr>
        <w:t>-  ввод в эксплуатацию жилья (62,1%);</w:t>
      </w:r>
    </w:p>
    <w:p w:rsidR="001458BA" w:rsidRPr="001458BA" w:rsidRDefault="001458BA" w:rsidP="001458BA">
      <w:pPr>
        <w:spacing w:after="0" w:line="240" w:lineRule="auto"/>
        <w:ind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 w:rsidRPr="001458BA">
        <w:rPr>
          <w:rFonts w:ascii="Century Gothic" w:eastAsia="Times New Roman" w:hAnsi="Century Gothic"/>
          <w:sz w:val="24"/>
          <w:szCs w:val="24"/>
          <w:lang w:eastAsia="ru-RU"/>
        </w:rPr>
        <w:t xml:space="preserve">- семьи, улучшившие жилищные условия при бюджетной поддержке (54,5%). </w:t>
      </w:r>
    </w:p>
    <w:p w:rsidR="001458BA" w:rsidRPr="001458BA" w:rsidRDefault="001458BA" w:rsidP="001458BA">
      <w:pPr>
        <w:spacing w:after="0" w:line="240" w:lineRule="auto"/>
        <w:ind w:firstLine="567"/>
        <w:jc w:val="both"/>
        <w:rPr>
          <w:rFonts w:ascii="Century Gothic" w:eastAsia="Times New Roman" w:hAnsi="Century Gothic"/>
          <w:b/>
          <w:sz w:val="24"/>
          <w:szCs w:val="24"/>
          <w:lang w:eastAsia="ru-RU"/>
        </w:rPr>
      </w:pPr>
      <w:r w:rsidRPr="001458BA">
        <w:rPr>
          <w:rFonts w:ascii="Century Gothic" w:eastAsia="Times New Roman" w:hAnsi="Century Gothic"/>
          <w:sz w:val="24"/>
          <w:szCs w:val="24"/>
          <w:lang w:eastAsia="ru-RU"/>
        </w:rPr>
        <w:t>В результате проведенной интегральной оценки средний уровень достижения планируемых значений 15 основных индикаторов за 2018 год составил 95,3 % (за 2017 год - 98,2 %, за 2016 год – 100,2 %) - качественная характеристика выполнения Программы по принятой шкале</w:t>
      </w:r>
      <w:r w:rsidRPr="001458BA">
        <w:rPr>
          <w:rFonts w:ascii="Century Gothic" w:eastAsia="Times New Roman" w:hAnsi="Century Gothic"/>
          <w:b/>
          <w:sz w:val="24"/>
          <w:szCs w:val="24"/>
          <w:lang w:eastAsia="ru-RU"/>
        </w:rPr>
        <w:t xml:space="preserve"> – высоко результативная.</w:t>
      </w:r>
    </w:p>
    <w:p w:rsidR="008B21AD" w:rsidRDefault="00FF3DCB" w:rsidP="00FF3DCB">
      <w:pPr>
        <w:spacing w:after="0" w:line="240" w:lineRule="auto"/>
        <w:ind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>
        <w:rPr>
          <w:rFonts w:ascii="Century Gothic" w:eastAsia="Times New Roman" w:hAnsi="Century Gothic"/>
          <w:sz w:val="24"/>
          <w:szCs w:val="24"/>
          <w:lang w:eastAsia="ru-RU"/>
        </w:rPr>
        <w:t>Детальный о</w:t>
      </w:r>
      <w:r w:rsidR="00215713">
        <w:rPr>
          <w:rFonts w:ascii="Century Gothic" w:eastAsia="Times New Roman" w:hAnsi="Century Gothic"/>
          <w:sz w:val="24"/>
          <w:szCs w:val="24"/>
          <w:lang w:eastAsia="ru-RU"/>
        </w:rPr>
        <w:t>тчет о выполнении всех мероприятий Программы-2020</w:t>
      </w:r>
      <w:r w:rsidR="003829B1">
        <w:rPr>
          <w:rFonts w:ascii="Century Gothic" w:eastAsia="Times New Roman" w:hAnsi="Century Gothic"/>
          <w:sz w:val="24"/>
          <w:szCs w:val="24"/>
          <w:lang w:eastAsia="ru-RU"/>
        </w:rPr>
        <w:t xml:space="preserve"> за 201</w:t>
      </w:r>
      <w:r w:rsidR="001458BA">
        <w:rPr>
          <w:rFonts w:ascii="Century Gothic" w:eastAsia="Times New Roman" w:hAnsi="Century Gothic"/>
          <w:sz w:val="24"/>
          <w:szCs w:val="24"/>
          <w:lang w:eastAsia="ru-RU"/>
        </w:rPr>
        <w:t>8</w:t>
      </w:r>
      <w:r w:rsidR="003829B1">
        <w:rPr>
          <w:rFonts w:ascii="Century Gothic" w:eastAsia="Times New Roman" w:hAnsi="Century Gothic"/>
          <w:sz w:val="24"/>
          <w:szCs w:val="24"/>
          <w:lang w:eastAsia="ru-RU"/>
        </w:rPr>
        <w:t xml:space="preserve"> год представлен в Приложении 1.</w:t>
      </w:r>
    </w:p>
    <w:p w:rsidR="003829B1" w:rsidRDefault="003829B1" w:rsidP="00FF3DCB">
      <w:pPr>
        <w:spacing w:after="0" w:line="240" w:lineRule="auto"/>
        <w:ind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>
        <w:rPr>
          <w:rFonts w:ascii="Century Gothic" w:eastAsia="Times New Roman" w:hAnsi="Century Gothic"/>
          <w:sz w:val="24"/>
          <w:szCs w:val="24"/>
          <w:lang w:eastAsia="ru-RU"/>
        </w:rPr>
        <w:t>Информация о достижении значений всех индикаторов Программы-2020 за 201</w:t>
      </w:r>
      <w:r w:rsidR="001458BA">
        <w:rPr>
          <w:rFonts w:ascii="Century Gothic" w:eastAsia="Times New Roman" w:hAnsi="Century Gothic"/>
          <w:sz w:val="24"/>
          <w:szCs w:val="24"/>
          <w:lang w:eastAsia="ru-RU"/>
        </w:rPr>
        <w:t>8</w:t>
      </w:r>
      <w:r>
        <w:rPr>
          <w:rFonts w:ascii="Century Gothic" w:eastAsia="Times New Roman" w:hAnsi="Century Gothic"/>
          <w:sz w:val="24"/>
          <w:szCs w:val="24"/>
          <w:lang w:eastAsia="ru-RU"/>
        </w:rPr>
        <w:t xml:space="preserve"> год представлена в Приложении 2.</w:t>
      </w:r>
    </w:p>
    <w:p w:rsidR="00215713" w:rsidRDefault="00215713" w:rsidP="00FF3DCB">
      <w:pPr>
        <w:spacing w:after="0" w:line="240" w:lineRule="auto"/>
        <w:ind w:right="-1"/>
        <w:jc w:val="center"/>
        <w:rPr>
          <w:rFonts w:ascii="Century Gothic" w:eastAsia="Times New Roman" w:hAnsi="Century Gothic"/>
          <w:sz w:val="24"/>
          <w:szCs w:val="24"/>
          <w:lang w:eastAsia="ru-RU"/>
        </w:rPr>
      </w:pPr>
    </w:p>
    <w:p w:rsidR="003829B1" w:rsidRPr="008B21AD" w:rsidRDefault="003829B1" w:rsidP="00FF3DCB">
      <w:pPr>
        <w:spacing w:after="0" w:line="240" w:lineRule="auto"/>
        <w:ind w:right="-1"/>
        <w:jc w:val="center"/>
        <w:rPr>
          <w:rFonts w:ascii="Century Gothic" w:eastAsia="Times New Roman" w:hAnsi="Century Gothic"/>
          <w:sz w:val="24"/>
          <w:szCs w:val="24"/>
          <w:lang w:eastAsia="ru-RU"/>
        </w:rPr>
      </w:pPr>
      <w:r>
        <w:rPr>
          <w:rFonts w:ascii="Century Gothic" w:eastAsia="Times New Roman" w:hAnsi="Century Gothic"/>
          <w:b/>
          <w:bCs/>
          <w:sz w:val="28"/>
          <w:szCs w:val="28"/>
          <w:lang w:eastAsia="ru-RU"/>
        </w:rPr>
        <w:t>Информация</w:t>
      </w:r>
      <w:r w:rsidRPr="00E779B7">
        <w:rPr>
          <w:rFonts w:ascii="Century Gothic" w:eastAsia="Times New Roman" w:hAnsi="Century Gothic"/>
          <w:b/>
          <w:bCs/>
          <w:sz w:val="28"/>
          <w:szCs w:val="28"/>
          <w:lang w:eastAsia="ru-RU"/>
        </w:rPr>
        <w:t xml:space="preserve"> </w:t>
      </w:r>
      <w:r>
        <w:rPr>
          <w:rFonts w:ascii="Century Gothic" w:eastAsia="Times New Roman" w:hAnsi="Century Gothic"/>
          <w:b/>
          <w:bCs/>
          <w:sz w:val="28"/>
          <w:szCs w:val="28"/>
          <w:lang w:eastAsia="ru-RU"/>
        </w:rPr>
        <w:t>о реализации муниципальных и ведомственных целевых программ городского округа город Рыбинск за</w:t>
      </w:r>
      <w:r w:rsidRPr="00E779B7">
        <w:rPr>
          <w:rFonts w:ascii="Century Gothic" w:eastAsia="Times New Roman" w:hAnsi="Century Gothic"/>
          <w:b/>
          <w:bCs/>
          <w:sz w:val="28"/>
          <w:szCs w:val="28"/>
          <w:lang w:eastAsia="ru-RU"/>
        </w:rPr>
        <w:t xml:space="preserve"> 201</w:t>
      </w:r>
      <w:r w:rsidR="001458BA">
        <w:rPr>
          <w:rFonts w:ascii="Century Gothic" w:eastAsia="Times New Roman" w:hAnsi="Century Gothic"/>
          <w:b/>
          <w:bCs/>
          <w:sz w:val="28"/>
          <w:szCs w:val="28"/>
          <w:lang w:eastAsia="ru-RU"/>
        </w:rPr>
        <w:t>8</w:t>
      </w:r>
      <w:r w:rsidRPr="00E779B7">
        <w:rPr>
          <w:rFonts w:ascii="Century Gothic" w:eastAsia="Times New Roman" w:hAnsi="Century Gothic"/>
          <w:b/>
          <w:bCs/>
          <w:sz w:val="28"/>
          <w:szCs w:val="28"/>
          <w:lang w:eastAsia="ru-RU"/>
        </w:rPr>
        <w:t xml:space="preserve"> год</w:t>
      </w:r>
    </w:p>
    <w:p w:rsidR="008E5675" w:rsidRDefault="008E5675" w:rsidP="00FF3DCB">
      <w:pPr>
        <w:spacing w:after="0" w:line="240" w:lineRule="auto"/>
        <w:ind w:right="-1"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В </w:t>
      </w:r>
      <w:r w:rsidRPr="004909FF">
        <w:rPr>
          <w:rFonts w:ascii="Century Gothic" w:eastAsia="Times New Roman" w:hAnsi="Century Gothic"/>
          <w:sz w:val="24"/>
          <w:szCs w:val="24"/>
          <w:lang w:eastAsia="ru-RU"/>
        </w:rPr>
        <w:t>течение</w:t>
      </w: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 </w:t>
      </w:r>
      <w:r w:rsidR="00E53688">
        <w:rPr>
          <w:rFonts w:ascii="Century Gothic" w:eastAsia="Times New Roman" w:hAnsi="Century Gothic"/>
          <w:sz w:val="24"/>
          <w:szCs w:val="24"/>
          <w:lang w:eastAsia="ru-RU"/>
        </w:rPr>
        <w:t>201</w:t>
      </w:r>
      <w:r w:rsidR="0062043C">
        <w:rPr>
          <w:rFonts w:ascii="Century Gothic" w:eastAsia="Times New Roman" w:hAnsi="Century Gothic"/>
          <w:sz w:val="24"/>
          <w:szCs w:val="24"/>
          <w:lang w:eastAsia="ru-RU"/>
        </w:rPr>
        <w:t>8</w:t>
      </w:r>
      <w:r w:rsidR="00E53688">
        <w:rPr>
          <w:rFonts w:ascii="Century Gothic" w:eastAsia="Times New Roman" w:hAnsi="Century Gothic"/>
          <w:sz w:val="24"/>
          <w:szCs w:val="24"/>
          <w:lang w:eastAsia="ru-RU"/>
        </w:rPr>
        <w:t xml:space="preserve"> </w:t>
      </w: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года </w:t>
      </w:r>
      <w:r w:rsidR="00E53688">
        <w:rPr>
          <w:rFonts w:ascii="Century Gothic" w:eastAsia="Times New Roman" w:hAnsi="Century Gothic"/>
          <w:sz w:val="24"/>
          <w:szCs w:val="24"/>
          <w:lang w:eastAsia="ru-RU"/>
        </w:rPr>
        <w:t xml:space="preserve">в городском округе город Рыбинск </w:t>
      </w: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осуществлялась реализация </w:t>
      </w:r>
      <w:r>
        <w:rPr>
          <w:rFonts w:ascii="Century Gothic" w:eastAsia="Times New Roman" w:hAnsi="Century Gothic"/>
          <w:sz w:val="24"/>
          <w:szCs w:val="24"/>
          <w:lang w:eastAsia="ru-RU"/>
        </w:rPr>
        <w:t>15</w:t>
      </w: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 </w:t>
      </w:r>
      <w:r>
        <w:rPr>
          <w:rFonts w:ascii="Century Gothic" w:eastAsia="Times New Roman" w:hAnsi="Century Gothic"/>
          <w:sz w:val="24"/>
          <w:szCs w:val="24"/>
          <w:lang w:eastAsia="ru-RU"/>
        </w:rPr>
        <w:t>муниципальных</w:t>
      </w:r>
      <w:r w:rsidR="001F1F33">
        <w:rPr>
          <w:rFonts w:ascii="Century Gothic" w:eastAsia="Times New Roman" w:hAnsi="Century Gothic"/>
          <w:sz w:val="24"/>
          <w:szCs w:val="24"/>
          <w:lang w:eastAsia="ru-RU"/>
        </w:rPr>
        <w:t xml:space="preserve"> (МП)</w:t>
      </w:r>
      <w:r>
        <w:rPr>
          <w:rFonts w:ascii="Century Gothic" w:eastAsia="Times New Roman" w:hAnsi="Century Gothic"/>
          <w:sz w:val="24"/>
          <w:szCs w:val="24"/>
          <w:lang w:eastAsia="ru-RU"/>
        </w:rPr>
        <w:t xml:space="preserve"> и </w:t>
      </w:r>
      <w:r w:rsidR="0062043C">
        <w:rPr>
          <w:rFonts w:ascii="Century Gothic" w:eastAsia="Times New Roman" w:hAnsi="Century Gothic"/>
          <w:sz w:val="24"/>
          <w:szCs w:val="24"/>
          <w:lang w:eastAsia="ru-RU"/>
        </w:rPr>
        <w:t>8</w:t>
      </w:r>
      <w:r>
        <w:rPr>
          <w:rFonts w:ascii="Century Gothic" w:eastAsia="Times New Roman" w:hAnsi="Century Gothic"/>
          <w:sz w:val="24"/>
          <w:szCs w:val="24"/>
          <w:lang w:eastAsia="ru-RU"/>
        </w:rPr>
        <w:t xml:space="preserve"> ведомственных целевых</w:t>
      </w: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 программ</w:t>
      </w:r>
      <w:r w:rsidR="001F1F33">
        <w:rPr>
          <w:rFonts w:ascii="Century Gothic" w:eastAsia="Times New Roman" w:hAnsi="Century Gothic"/>
          <w:sz w:val="24"/>
          <w:szCs w:val="24"/>
          <w:lang w:eastAsia="ru-RU"/>
        </w:rPr>
        <w:t xml:space="preserve"> (ВЦП)</w:t>
      </w:r>
      <w:r w:rsidR="003829B1">
        <w:rPr>
          <w:rFonts w:ascii="Century Gothic" w:eastAsia="Times New Roman" w:hAnsi="Century Gothic"/>
          <w:sz w:val="24"/>
          <w:szCs w:val="24"/>
          <w:lang w:eastAsia="ru-RU"/>
        </w:rPr>
        <w:t>, входящих в структуру Программы-2020</w:t>
      </w: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>.</w:t>
      </w:r>
    </w:p>
    <w:p w:rsidR="00FF3DCB" w:rsidRDefault="00FF3DCB" w:rsidP="00FF3DCB">
      <w:pPr>
        <w:spacing w:after="0" w:line="240" w:lineRule="auto"/>
        <w:ind w:right="-1"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</w:p>
    <w:p w:rsidR="00FF3DCB" w:rsidRPr="006D6355" w:rsidRDefault="00FF3DCB" w:rsidP="00FF3DCB">
      <w:pPr>
        <w:spacing w:after="0" w:line="240" w:lineRule="auto"/>
        <w:ind w:right="-1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 w:rsidRPr="006277E3">
        <w:rPr>
          <w:rFonts w:ascii="Century Gothic" w:eastAsia="Times New Roman" w:hAnsi="Century Gothic"/>
          <w:noProof/>
          <w:sz w:val="24"/>
          <w:szCs w:val="24"/>
          <w:lang w:eastAsia="ru-RU"/>
        </w:rPr>
        <w:drawing>
          <wp:inline distT="0" distB="0" distL="0" distR="0">
            <wp:extent cx="6480810" cy="2902517"/>
            <wp:effectExtent l="19050" t="0" r="0" b="0"/>
            <wp:docPr id="1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FF3DCB" w:rsidRDefault="00FF3DCB" w:rsidP="00FF3DCB">
      <w:pPr>
        <w:spacing w:after="0" w:line="240" w:lineRule="auto"/>
        <w:ind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</w:p>
    <w:p w:rsidR="006B7AD4" w:rsidRPr="006B7AD4" w:rsidRDefault="008E5675" w:rsidP="00FF3DCB">
      <w:pPr>
        <w:spacing w:after="0" w:line="240" w:lineRule="auto"/>
        <w:ind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Реализация </w:t>
      </w:r>
      <w:r>
        <w:rPr>
          <w:rFonts w:ascii="Century Gothic" w:eastAsia="Times New Roman" w:hAnsi="Century Gothic"/>
          <w:sz w:val="24"/>
          <w:szCs w:val="24"/>
          <w:lang w:eastAsia="ru-RU"/>
        </w:rPr>
        <w:t>муниципальных и ведомственных целевых</w:t>
      </w: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 программ</w:t>
      </w:r>
      <w:r>
        <w:rPr>
          <w:rFonts w:ascii="Century Gothic" w:eastAsia="Times New Roman" w:hAnsi="Century Gothic"/>
          <w:sz w:val="24"/>
          <w:szCs w:val="24"/>
          <w:lang w:eastAsia="ru-RU"/>
        </w:rPr>
        <w:t xml:space="preserve"> </w:t>
      </w: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>в 201</w:t>
      </w:r>
      <w:r w:rsidR="00390676">
        <w:rPr>
          <w:rFonts w:ascii="Century Gothic" w:eastAsia="Times New Roman" w:hAnsi="Century Gothic"/>
          <w:sz w:val="24"/>
          <w:szCs w:val="24"/>
          <w:lang w:eastAsia="ru-RU"/>
        </w:rPr>
        <w:t>8</w:t>
      </w: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 году осуществлялась по </w:t>
      </w:r>
      <w:r w:rsidRPr="006D6355">
        <w:rPr>
          <w:rFonts w:ascii="Century Gothic" w:eastAsia="Times New Roman" w:hAnsi="Century Gothic"/>
          <w:b/>
          <w:bCs/>
          <w:sz w:val="24"/>
          <w:szCs w:val="24"/>
          <w:lang w:eastAsia="ru-RU"/>
        </w:rPr>
        <w:t>8 основным направлениям</w:t>
      </w:r>
      <w:r w:rsidRPr="00426E00">
        <w:rPr>
          <w:rFonts w:ascii="Century Gothic" w:eastAsia="Times New Roman" w:hAnsi="Century Gothic"/>
          <w:sz w:val="24"/>
          <w:szCs w:val="24"/>
          <w:lang w:eastAsia="ru-RU"/>
        </w:rPr>
        <w:t>:</w:t>
      </w:r>
    </w:p>
    <w:p w:rsidR="00FF3DCB" w:rsidRPr="00FF3DCB" w:rsidRDefault="00FF3DCB" w:rsidP="00FF3DCB">
      <w:pPr>
        <w:pStyle w:val="a6"/>
        <w:numPr>
          <w:ilvl w:val="3"/>
          <w:numId w:val="2"/>
        </w:numPr>
        <w:spacing w:after="0" w:line="240" w:lineRule="auto"/>
        <w:ind w:left="567" w:right="-1" w:hanging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 w:rsidRPr="00FF3DCB">
        <w:rPr>
          <w:rFonts w:ascii="Century Gothic" w:eastAsia="Times New Roman" w:hAnsi="Century Gothic"/>
          <w:b/>
          <w:sz w:val="24"/>
          <w:szCs w:val="24"/>
          <w:lang w:eastAsia="ru-RU"/>
        </w:rPr>
        <w:t>образование, физическая культура и спорт, молодежная политика</w:t>
      </w:r>
      <w:r>
        <w:rPr>
          <w:rFonts w:ascii="Century Gothic" w:eastAsia="Times New Roman" w:hAnsi="Century Gothic"/>
          <w:sz w:val="24"/>
          <w:szCs w:val="24"/>
          <w:lang w:eastAsia="ru-RU"/>
        </w:rPr>
        <w:t xml:space="preserve"> – 3 программы</w:t>
      </w:r>
      <w:r w:rsidR="00390676">
        <w:rPr>
          <w:rFonts w:ascii="Century Gothic" w:eastAsia="Times New Roman" w:hAnsi="Century Gothic"/>
          <w:sz w:val="24"/>
          <w:szCs w:val="24"/>
          <w:lang w:eastAsia="ru-RU"/>
        </w:rPr>
        <w:t xml:space="preserve"> (План 2963,3 млн</w:t>
      </w:r>
      <w:proofErr w:type="gramStart"/>
      <w:r w:rsidR="00390676">
        <w:rPr>
          <w:rFonts w:ascii="Century Gothic" w:eastAsia="Times New Roman" w:hAnsi="Century Gothic"/>
          <w:sz w:val="24"/>
          <w:szCs w:val="24"/>
          <w:lang w:eastAsia="ru-RU"/>
        </w:rPr>
        <w:t>.р</w:t>
      </w:r>
      <w:proofErr w:type="gramEnd"/>
      <w:r w:rsidR="00390676">
        <w:rPr>
          <w:rFonts w:ascii="Century Gothic" w:eastAsia="Times New Roman" w:hAnsi="Century Gothic"/>
          <w:sz w:val="24"/>
          <w:szCs w:val="24"/>
          <w:lang w:eastAsia="ru-RU"/>
        </w:rPr>
        <w:t>уб. Факт 2851</w:t>
      </w:r>
      <w:r>
        <w:rPr>
          <w:rFonts w:ascii="Century Gothic" w:eastAsia="Times New Roman" w:hAnsi="Century Gothic"/>
          <w:sz w:val="24"/>
          <w:szCs w:val="24"/>
          <w:lang w:eastAsia="ru-RU"/>
        </w:rPr>
        <w:t>,1</w:t>
      </w:r>
      <w:r w:rsidR="00390676">
        <w:rPr>
          <w:rFonts w:ascii="Century Gothic" w:eastAsia="Times New Roman" w:hAnsi="Century Gothic"/>
          <w:sz w:val="24"/>
          <w:szCs w:val="24"/>
          <w:lang w:eastAsia="ru-RU"/>
        </w:rPr>
        <w:t>8</w:t>
      </w:r>
      <w:r>
        <w:rPr>
          <w:rFonts w:ascii="Century Gothic" w:eastAsia="Times New Roman" w:hAnsi="Century Gothic"/>
          <w:sz w:val="24"/>
          <w:szCs w:val="24"/>
          <w:lang w:eastAsia="ru-RU"/>
        </w:rPr>
        <w:t xml:space="preserve"> млн.руб.</w:t>
      </w:r>
      <w:r w:rsidR="00390676">
        <w:rPr>
          <w:rFonts w:ascii="Century Gothic" w:eastAsia="Times New Roman" w:hAnsi="Century Gothic"/>
          <w:sz w:val="24"/>
          <w:szCs w:val="24"/>
          <w:lang w:eastAsia="ru-RU"/>
        </w:rPr>
        <w:t xml:space="preserve"> – 96,2%</w:t>
      </w:r>
      <w:r>
        <w:rPr>
          <w:rFonts w:ascii="Century Gothic" w:eastAsia="Times New Roman" w:hAnsi="Century Gothic"/>
          <w:sz w:val="24"/>
          <w:szCs w:val="24"/>
          <w:lang w:eastAsia="ru-RU"/>
        </w:rPr>
        <w:t>)</w:t>
      </w:r>
    </w:p>
    <w:p w:rsidR="008E5675" w:rsidRPr="006B7AD4" w:rsidRDefault="008E5675" w:rsidP="00FF3DCB">
      <w:pPr>
        <w:pStyle w:val="a6"/>
        <w:numPr>
          <w:ilvl w:val="3"/>
          <w:numId w:val="2"/>
        </w:numPr>
        <w:spacing w:after="0" w:line="240" w:lineRule="auto"/>
        <w:ind w:left="567" w:right="-1" w:hanging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 w:rsidRPr="006B7AD4">
        <w:rPr>
          <w:rFonts w:ascii="Century Gothic" w:eastAsia="Times New Roman" w:hAnsi="Century Gothic"/>
          <w:b/>
          <w:sz w:val="24"/>
          <w:szCs w:val="24"/>
          <w:lang w:eastAsia="ru-RU"/>
        </w:rPr>
        <w:t xml:space="preserve">социальная </w:t>
      </w:r>
      <w:r w:rsidR="003829B1">
        <w:rPr>
          <w:rFonts w:ascii="Century Gothic" w:eastAsia="Times New Roman" w:hAnsi="Century Gothic"/>
          <w:b/>
          <w:sz w:val="24"/>
          <w:szCs w:val="24"/>
          <w:lang w:eastAsia="ru-RU"/>
        </w:rPr>
        <w:t>поддержка</w:t>
      </w:r>
      <w:r w:rsidRPr="006B7AD4">
        <w:rPr>
          <w:rFonts w:ascii="Century Gothic" w:eastAsia="Times New Roman" w:hAnsi="Century Gothic"/>
          <w:b/>
          <w:sz w:val="24"/>
          <w:szCs w:val="24"/>
          <w:lang w:eastAsia="ru-RU"/>
        </w:rPr>
        <w:t xml:space="preserve"> населения</w:t>
      </w:r>
      <w:r w:rsidR="00F56DB8" w:rsidRPr="006B7AD4">
        <w:rPr>
          <w:rFonts w:ascii="Century Gothic" w:eastAsia="Times New Roman" w:hAnsi="Century Gothic"/>
          <w:b/>
          <w:sz w:val="24"/>
          <w:szCs w:val="24"/>
          <w:lang w:eastAsia="ru-RU"/>
        </w:rPr>
        <w:t xml:space="preserve"> </w:t>
      </w:r>
      <w:r w:rsidRPr="006B7AD4">
        <w:rPr>
          <w:rFonts w:ascii="Century Gothic" w:eastAsia="Times New Roman" w:hAnsi="Century Gothic"/>
          <w:sz w:val="24"/>
          <w:szCs w:val="24"/>
          <w:lang w:eastAsia="ru-RU"/>
        </w:rPr>
        <w:t xml:space="preserve">– </w:t>
      </w:r>
      <w:r w:rsidR="004B68FE">
        <w:rPr>
          <w:rFonts w:ascii="Century Gothic" w:eastAsia="Times New Roman" w:hAnsi="Century Gothic"/>
          <w:sz w:val="24"/>
          <w:szCs w:val="24"/>
          <w:lang w:eastAsia="ru-RU"/>
        </w:rPr>
        <w:t>1</w:t>
      </w:r>
      <w:r w:rsidRPr="006B7AD4">
        <w:rPr>
          <w:rFonts w:ascii="Century Gothic" w:eastAsia="Times New Roman" w:hAnsi="Century Gothic"/>
          <w:sz w:val="24"/>
          <w:szCs w:val="24"/>
          <w:lang w:eastAsia="ru-RU"/>
        </w:rPr>
        <w:t xml:space="preserve"> программ</w:t>
      </w:r>
      <w:r w:rsidR="004B68FE">
        <w:rPr>
          <w:rFonts w:ascii="Century Gothic" w:eastAsia="Times New Roman" w:hAnsi="Century Gothic"/>
          <w:sz w:val="24"/>
          <w:szCs w:val="24"/>
          <w:lang w:eastAsia="ru-RU"/>
        </w:rPr>
        <w:t>а</w:t>
      </w:r>
      <w:r w:rsidRPr="006B7AD4">
        <w:rPr>
          <w:rFonts w:ascii="Century Gothic" w:eastAsia="Times New Roman" w:hAnsi="Century Gothic"/>
          <w:sz w:val="24"/>
          <w:szCs w:val="24"/>
          <w:lang w:eastAsia="ru-RU"/>
        </w:rPr>
        <w:t xml:space="preserve"> (План 1</w:t>
      </w:r>
      <w:r w:rsidR="004B68FE">
        <w:rPr>
          <w:rFonts w:ascii="Century Gothic" w:eastAsia="Times New Roman" w:hAnsi="Century Gothic"/>
          <w:sz w:val="24"/>
          <w:szCs w:val="24"/>
          <w:lang w:eastAsia="ru-RU"/>
        </w:rPr>
        <w:t>1</w:t>
      </w:r>
      <w:r w:rsidR="00390676">
        <w:rPr>
          <w:rFonts w:ascii="Century Gothic" w:eastAsia="Times New Roman" w:hAnsi="Century Gothic"/>
          <w:sz w:val="24"/>
          <w:szCs w:val="24"/>
          <w:lang w:eastAsia="ru-RU"/>
        </w:rPr>
        <w:t>51,1</w:t>
      </w:r>
      <w:r w:rsidRPr="006B7AD4">
        <w:rPr>
          <w:rFonts w:ascii="Century Gothic" w:eastAsia="Times New Roman" w:hAnsi="Century Gothic"/>
          <w:sz w:val="24"/>
          <w:szCs w:val="24"/>
          <w:lang w:eastAsia="ru-RU"/>
        </w:rPr>
        <w:t xml:space="preserve"> млн. руб. Факт 1</w:t>
      </w:r>
      <w:r w:rsidR="00390676">
        <w:rPr>
          <w:rFonts w:ascii="Century Gothic" w:eastAsia="Times New Roman" w:hAnsi="Century Gothic"/>
          <w:sz w:val="24"/>
          <w:szCs w:val="24"/>
          <w:lang w:eastAsia="ru-RU"/>
        </w:rPr>
        <w:t>13</w:t>
      </w:r>
      <w:r w:rsidR="004B68FE">
        <w:rPr>
          <w:rFonts w:ascii="Century Gothic" w:eastAsia="Times New Roman" w:hAnsi="Century Gothic"/>
          <w:sz w:val="24"/>
          <w:szCs w:val="24"/>
          <w:lang w:eastAsia="ru-RU"/>
        </w:rPr>
        <w:t>9</w:t>
      </w:r>
      <w:r w:rsidRPr="006B7AD4">
        <w:rPr>
          <w:rFonts w:ascii="Century Gothic" w:eastAsia="Times New Roman" w:hAnsi="Century Gothic"/>
          <w:sz w:val="24"/>
          <w:szCs w:val="24"/>
          <w:lang w:eastAsia="ru-RU"/>
        </w:rPr>
        <w:t>,</w:t>
      </w:r>
      <w:r w:rsidR="00390676">
        <w:rPr>
          <w:rFonts w:ascii="Century Gothic" w:eastAsia="Times New Roman" w:hAnsi="Century Gothic"/>
          <w:sz w:val="24"/>
          <w:szCs w:val="24"/>
          <w:lang w:eastAsia="ru-RU"/>
        </w:rPr>
        <w:t>5</w:t>
      </w:r>
      <w:r w:rsidRPr="006B7AD4">
        <w:rPr>
          <w:rFonts w:ascii="Century Gothic" w:eastAsia="Times New Roman" w:hAnsi="Century Gothic"/>
          <w:sz w:val="24"/>
          <w:szCs w:val="24"/>
          <w:lang w:eastAsia="ru-RU"/>
        </w:rPr>
        <w:t xml:space="preserve"> млн. руб. – </w:t>
      </w:r>
      <w:r w:rsidR="00390676">
        <w:rPr>
          <w:rFonts w:ascii="Century Gothic" w:eastAsia="Times New Roman" w:hAnsi="Century Gothic"/>
          <w:sz w:val="24"/>
          <w:szCs w:val="24"/>
          <w:lang w:eastAsia="ru-RU"/>
        </w:rPr>
        <w:t>99</w:t>
      </w:r>
      <w:r w:rsidRPr="006B7AD4">
        <w:rPr>
          <w:rFonts w:ascii="Century Gothic" w:eastAsia="Times New Roman" w:hAnsi="Century Gothic"/>
          <w:sz w:val="24"/>
          <w:szCs w:val="24"/>
          <w:lang w:eastAsia="ru-RU"/>
        </w:rPr>
        <w:t>%);</w:t>
      </w:r>
    </w:p>
    <w:p w:rsidR="008E5675" w:rsidRPr="006D6355" w:rsidRDefault="008E5675" w:rsidP="00FF3DCB">
      <w:pPr>
        <w:numPr>
          <w:ilvl w:val="3"/>
          <w:numId w:val="2"/>
        </w:numPr>
        <w:spacing w:after="0" w:line="240" w:lineRule="auto"/>
        <w:ind w:left="567" w:right="-1" w:hanging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 w:rsidRPr="006D6355">
        <w:rPr>
          <w:rFonts w:ascii="Century Gothic" w:eastAsia="Times New Roman" w:hAnsi="Century Gothic"/>
          <w:b/>
          <w:sz w:val="24"/>
          <w:szCs w:val="24"/>
          <w:lang w:eastAsia="ru-RU"/>
        </w:rPr>
        <w:t>культура и туризм</w:t>
      </w: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 – </w:t>
      </w:r>
      <w:r w:rsidR="004B68FE">
        <w:rPr>
          <w:rFonts w:ascii="Century Gothic" w:eastAsia="Times New Roman" w:hAnsi="Century Gothic"/>
          <w:sz w:val="24"/>
          <w:szCs w:val="24"/>
          <w:lang w:eastAsia="ru-RU"/>
        </w:rPr>
        <w:t>2</w:t>
      </w:r>
      <w:r>
        <w:rPr>
          <w:rFonts w:ascii="Century Gothic" w:eastAsia="Times New Roman" w:hAnsi="Century Gothic"/>
          <w:sz w:val="24"/>
          <w:szCs w:val="24"/>
          <w:lang w:eastAsia="ru-RU"/>
        </w:rPr>
        <w:t xml:space="preserve"> программ</w:t>
      </w:r>
      <w:r w:rsidR="004B68FE">
        <w:rPr>
          <w:rFonts w:ascii="Century Gothic" w:eastAsia="Times New Roman" w:hAnsi="Century Gothic"/>
          <w:sz w:val="24"/>
          <w:szCs w:val="24"/>
          <w:lang w:eastAsia="ru-RU"/>
        </w:rPr>
        <w:t>ы</w:t>
      </w: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 (План </w:t>
      </w:r>
      <w:r w:rsidR="00390676">
        <w:rPr>
          <w:rFonts w:ascii="Century Gothic" w:eastAsia="Times New Roman" w:hAnsi="Century Gothic"/>
          <w:sz w:val="24"/>
          <w:szCs w:val="24"/>
          <w:lang w:eastAsia="ru-RU"/>
        </w:rPr>
        <w:t>248,7</w:t>
      </w: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 млн. руб. Факт </w:t>
      </w:r>
      <w:r w:rsidR="00390676">
        <w:rPr>
          <w:rFonts w:ascii="Century Gothic" w:eastAsia="Times New Roman" w:hAnsi="Century Gothic"/>
          <w:sz w:val="24"/>
          <w:szCs w:val="24"/>
          <w:lang w:eastAsia="ru-RU"/>
        </w:rPr>
        <w:t>286,2</w:t>
      </w: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 млн. руб.</w:t>
      </w:r>
      <w:r>
        <w:rPr>
          <w:rFonts w:ascii="Century Gothic" w:eastAsia="Times New Roman" w:hAnsi="Century Gothic"/>
          <w:sz w:val="24"/>
          <w:szCs w:val="24"/>
          <w:lang w:eastAsia="ru-RU"/>
        </w:rPr>
        <w:t xml:space="preserve"> – </w:t>
      </w:r>
      <w:r w:rsidR="004B68FE">
        <w:rPr>
          <w:rFonts w:ascii="Century Gothic" w:eastAsia="Times New Roman" w:hAnsi="Century Gothic"/>
          <w:sz w:val="24"/>
          <w:szCs w:val="24"/>
          <w:lang w:eastAsia="ru-RU"/>
        </w:rPr>
        <w:t>1</w:t>
      </w:r>
      <w:r w:rsidR="00390676">
        <w:rPr>
          <w:rFonts w:ascii="Century Gothic" w:eastAsia="Times New Roman" w:hAnsi="Century Gothic"/>
          <w:sz w:val="24"/>
          <w:szCs w:val="24"/>
          <w:lang w:eastAsia="ru-RU"/>
        </w:rPr>
        <w:t>1</w:t>
      </w:r>
      <w:r w:rsidR="004B68FE">
        <w:rPr>
          <w:rFonts w:ascii="Century Gothic" w:eastAsia="Times New Roman" w:hAnsi="Century Gothic"/>
          <w:sz w:val="24"/>
          <w:szCs w:val="24"/>
          <w:lang w:eastAsia="ru-RU"/>
        </w:rPr>
        <w:t>5</w:t>
      </w:r>
      <w:r>
        <w:rPr>
          <w:rFonts w:ascii="Century Gothic" w:eastAsia="Times New Roman" w:hAnsi="Century Gothic"/>
          <w:sz w:val="24"/>
          <w:szCs w:val="24"/>
          <w:lang w:eastAsia="ru-RU"/>
        </w:rPr>
        <w:t>%</w:t>
      </w: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>);</w:t>
      </w:r>
    </w:p>
    <w:p w:rsidR="008E5675" w:rsidRPr="006D6355" w:rsidRDefault="008E5675" w:rsidP="00FF3DCB">
      <w:pPr>
        <w:numPr>
          <w:ilvl w:val="3"/>
          <w:numId w:val="2"/>
        </w:numPr>
        <w:spacing w:after="0" w:line="240" w:lineRule="auto"/>
        <w:ind w:left="567" w:right="-1" w:hanging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 w:rsidRPr="006D6355">
        <w:rPr>
          <w:rFonts w:ascii="Century Gothic" w:eastAsia="Times New Roman" w:hAnsi="Century Gothic"/>
          <w:b/>
          <w:sz w:val="24"/>
          <w:szCs w:val="24"/>
          <w:lang w:eastAsia="ru-RU"/>
        </w:rPr>
        <w:t>жилищно-коммунальное хозяйство</w:t>
      </w:r>
      <w:r w:rsidR="004B68FE">
        <w:rPr>
          <w:rFonts w:ascii="Century Gothic" w:eastAsia="Times New Roman" w:hAnsi="Century Gothic"/>
          <w:b/>
          <w:sz w:val="24"/>
          <w:szCs w:val="24"/>
          <w:lang w:eastAsia="ru-RU"/>
        </w:rPr>
        <w:t>,</w:t>
      </w:r>
      <w:r w:rsidR="003829B1">
        <w:rPr>
          <w:rFonts w:ascii="Century Gothic" w:eastAsia="Times New Roman" w:hAnsi="Century Gothic"/>
          <w:b/>
          <w:sz w:val="24"/>
          <w:szCs w:val="24"/>
          <w:lang w:eastAsia="ru-RU"/>
        </w:rPr>
        <w:t xml:space="preserve"> </w:t>
      </w:r>
      <w:r w:rsidR="004B68FE">
        <w:rPr>
          <w:rFonts w:ascii="Century Gothic" w:eastAsia="Times New Roman" w:hAnsi="Century Gothic"/>
          <w:b/>
          <w:sz w:val="24"/>
          <w:szCs w:val="24"/>
          <w:lang w:eastAsia="ru-RU"/>
        </w:rPr>
        <w:t>инфраструктура</w:t>
      </w: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 – </w:t>
      </w:r>
      <w:r w:rsidR="00390676">
        <w:rPr>
          <w:rFonts w:ascii="Century Gothic" w:eastAsia="Times New Roman" w:hAnsi="Century Gothic"/>
          <w:sz w:val="24"/>
          <w:szCs w:val="24"/>
          <w:lang w:eastAsia="ru-RU"/>
        </w:rPr>
        <w:t>7</w:t>
      </w:r>
      <w:r>
        <w:rPr>
          <w:rFonts w:ascii="Century Gothic" w:eastAsia="Times New Roman" w:hAnsi="Century Gothic"/>
          <w:sz w:val="24"/>
          <w:szCs w:val="24"/>
          <w:lang w:eastAsia="ru-RU"/>
        </w:rPr>
        <w:t xml:space="preserve"> </w:t>
      </w: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программ (План </w:t>
      </w:r>
      <w:r w:rsidR="00390676">
        <w:rPr>
          <w:rFonts w:ascii="Century Gothic" w:eastAsia="Times New Roman" w:hAnsi="Century Gothic"/>
          <w:sz w:val="24"/>
          <w:szCs w:val="24"/>
          <w:lang w:eastAsia="ru-RU"/>
        </w:rPr>
        <w:t>1349,4</w:t>
      </w: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 млн</w:t>
      </w:r>
      <w:proofErr w:type="gramStart"/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>.р</w:t>
      </w:r>
      <w:proofErr w:type="gramEnd"/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уб.; Факт </w:t>
      </w:r>
      <w:r w:rsidR="00390676">
        <w:rPr>
          <w:rFonts w:ascii="Century Gothic" w:eastAsia="Times New Roman" w:hAnsi="Century Gothic"/>
          <w:sz w:val="24"/>
          <w:szCs w:val="24"/>
          <w:lang w:eastAsia="ru-RU"/>
        </w:rPr>
        <w:t>1299,15</w:t>
      </w: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 млн. руб.</w:t>
      </w:r>
      <w:r>
        <w:rPr>
          <w:rFonts w:ascii="Century Gothic" w:eastAsia="Times New Roman" w:hAnsi="Century Gothic"/>
          <w:sz w:val="24"/>
          <w:szCs w:val="24"/>
          <w:lang w:eastAsia="ru-RU"/>
        </w:rPr>
        <w:t xml:space="preserve"> – </w:t>
      </w:r>
      <w:r w:rsidR="00390676">
        <w:rPr>
          <w:rFonts w:ascii="Century Gothic" w:eastAsia="Times New Roman" w:hAnsi="Century Gothic"/>
          <w:sz w:val="24"/>
          <w:szCs w:val="24"/>
          <w:lang w:eastAsia="ru-RU"/>
        </w:rPr>
        <w:t>96,2</w:t>
      </w:r>
      <w:r>
        <w:rPr>
          <w:rFonts w:ascii="Century Gothic" w:eastAsia="Times New Roman" w:hAnsi="Century Gothic"/>
          <w:sz w:val="24"/>
          <w:szCs w:val="24"/>
          <w:lang w:eastAsia="ru-RU"/>
        </w:rPr>
        <w:t>%</w:t>
      </w: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>)</w:t>
      </w:r>
    </w:p>
    <w:p w:rsidR="004B68FE" w:rsidRPr="006D6355" w:rsidRDefault="008E5675" w:rsidP="00FF3DCB">
      <w:pPr>
        <w:numPr>
          <w:ilvl w:val="3"/>
          <w:numId w:val="2"/>
        </w:numPr>
        <w:spacing w:after="0" w:line="240" w:lineRule="auto"/>
        <w:ind w:left="567" w:right="-1" w:hanging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 w:rsidRPr="006D6355">
        <w:rPr>
          <w:rFonts w:ascii="Century Gothic" w:eastAsia="Times New Roman" w:hAnsi="Century Gothic"/>
          <w:b/>
          <w:sz w:val="24"/>
          <w:szCs w:val="24"/>
          <w:lang w:eastAsia="ru-RU"/>
        </w:rPr>
        <w:lastRenderedPageBreak/>
        <w:t>содействие экономическому развитию</w:t>
      </w: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 – </w:t>
      </w:r>
      <w:r w:rsidR="004B68FE">
        <w:rPr>
          <w:rFonts w:ascii="Century Gothic" w:eastAsia="Times New Roman" w:hAnsi="Century Gothic"/>
          <w:sz w:val="24"/>
          <w:szCs w:val="24"/>
          <w:lang w:eastAsia="ru-RU"/>
        </w:rPr>
        <w:t>2</w:t>
      </w: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 программ</w:t>
      </w:r>
      <w:r w:rsidR="004B68FE">
        <w:rPr>
          <w:rFonts w:ascii="Century Gothic" w:eastAsia="Times New Roman" w:hAnsi="Century Gothic"/>
          <w:sz w:val="24"/>
          <w:szCs w:val="24"/>
          <w:lang w:eastAsia="ru-RU"/>
        </w:rPr>
        <w:t>ы</w:t>
      </w: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 (</w:t>
      </w:r>
      <w:r w:rsidR="004B68FE"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План </w:t>
      </w:r>
      <w:r w:rsidR="00390676">
        <w:rPr>
          <w:rFonts w:ascii="Century Gothic" w:eastAsia="Times New Roman" w:hAnsi="Century Gothic"/>
          <w:sz w:val="24"/>
          <w:szCs w:val="24"/>
          <w:lang w:eastAsia="ru-RU"/>
        </w:rPr>
        <w:t>0,7</w:t>
      </w:r>
      <w:r w:rsidR="004B68FE"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 млн</w:t>
      </w:r>
      <w:proofErr w:type="gramStart"/>
      <w:r w:rsidR="004B68FE" w:rsidRPr="006D6355">
        <w:rPr>
          <w:rFonts w:ascii="Century Gothic" w:eastAsia="Times New Roman" w:hAnsi="Century Gothic"/>
          <w:sz w:val="24"/>
          <w:szCs w:val="24"/>
          <w:lang w:eastAsia="ru-RU"/>
        </w:rPr>
        <w:t>.р</w:t>
      </w:r>
      <w:proofErr w:type="gramEnd"/>
      <w:r w:rsidR="004B68FE"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уб.; Факт </w:t>
      </w:r>
      <w:r w:rsidR="00390676">
        <w:rPr>
          <w:rFonts w:ascii="Century Gothic" w:eastAsia="Times New Roman" w:hAnsi="Century Gothic"/>
          <w:sz w:val="24"/>
          <w:szCs w:val="24"/>
          <w:lang w:eastAsia="ru-RU"/>
        </w:rPr>
        <w:t>0,3</w:t>
      </w:r>
      <w:r w:rsidR="004B68FE"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 млн. руб.</w:t>
      </w:r>
      <w:r w:rsidR="004B68FE">
        <w:rPr>
          <w:rFonts w:ascii="Century Gothic" w:eastAsia="Times New Roman" w:hAnsi="Century Gothic"/>
          <w:sz w:val="24"/>
          <w:szCs w:val="24"/>
          <w:lang w:eastAsia="ru-RU"/>
        </w:rPr>
        <w:t xml:space="preserve"> – </w:t>
      </w:r>
      <w:r w:rsidR="00390676">
        <w:rPr>
          <w:rFonts w:ascii="Century Gothic" w:eastAsia="Times New Roman" w:hAnsi="Century Gothic"/>
          <w:sz w:val="24"/>
          <w:szCs w:val="24"/>
          <w:lang w:eastAsia="ru-RU"/>
        </w:rPr>
        <w:t>42,8</w:t>
      </w:r>
      <w:r w:rsidR="004B68FE">
        <w:rPr>
          <w:rFonts w:ascii="Century Gothic" w:eastAsia="Times New Roman" w:hAnsi="Century Gothic"/>
          <w:sz w:val="24"/>
          <w:szCs w:val="24"/>
          <w:lang w:eastAsia="ru-RU"/>
        </w:rPr>
        <w:t>%</w:t>
      </w:r>
      <w:r w:rsidR="004B68FE" w:rsidRPr="006D6355">
        <w:rPr>
          <w:rFonts w:ascii="Century Gothic" w:eastAsia="Times New Roman" w:hAnsi="Century Gothic"/>
          <w:sz w:val="24"/>
          <w:szCs w:val="24"/>
          <w:lang w:eastAsia="ru-RU"/>
        </w:rPr>
        <w:t>)</w:t>
      </w:r>
    </w:p>
    <w:p w:rsidR="008E5675" w:rsidRPr="004B68FE" w:rsidRDefault="008E5675" w:rsidP="00FF3DCB">
      <w:pPr>
        <w:numPr>
          <w:ilvl w:val="3"/>
          <w:numId w:val="2"/>
        </w:numPr>
        <w:spacing w:after="0" w:line="240" w:lineRule="auto"/>
        <w:ind w:left="567" w:right="-1" w:hanging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 w:rsidRPr="004B68FE">
        <w:rPr>
          <w:rFonts w:ascii="Century Gothic" w:eastAsia="Times New Roman" w:hAnsi="Century Gothic"/>
          <w:b/>
          <w:sz w:val="24"/>
          <w:szCs w:val="24"/>
          <w:lang w:eastAsia="ru-RU"/>
        </w:rPr>
        <w:t>обеспечение доступным и комфортным жильем</w:t>
      </w:r>
      <w:r w:rsidRPr="004B68FE">
        <w:rPr>
          <w:rFonts w:ascii="Century Gothic" w:eastAsia="Times New Roman" w:hAnsi="Century Gothic"/>
          <w:sz w:val="24"/>
          <w:szCs w:val="24"/>
          <w:lang w:eastAsia="ru-RU"/>
        </w:rPr>
        <w:t xml:space="preserve"> – 1 программа (План </w:t>
      </w:r>
      <w:r w:rsidR="00390676">
        <w:rPr>
          <w:rFonts w:ascii="Century Gothic" w:eastAsia="Times New Roman" w:hAnsi="Century Gothic"/>
          <w:sz w:val="24"/>
          <w:szCs w:val="24"/>
          <w:lang w:eastAsia="ru-RU"/>
        </w:rPr>
        <w:t>13,6</w:t>
      </w:r>
      <w:r w:rsidRPr="004B68FE">
        <w:rPr>
          <w:rFonts w:ascii="Century Gothic" w:eastAsia="Times New Roman" w:hAnsi="Century Gothic"/>
          <w:sz w:val="24"/>
          <w:szCs w:val="24"/>
          <w:lang w:eastAsia="ru-RU"/>
        </w:rPr>
        <w:t xml:space="preserve"> млн</w:t>
      </w:r>
      <w:proofErr w:type="gramStart"/>
      <w:r w:rsidRPr="004B68FE">
        <w:rPr>
          <w:rFonts w:ascii="Century Gothic" w:eastAsia="Times New Roman" w:hAnsi="Century Gothic"/>
          <w:sz w:val="24"/>
          <w:szCs w:val="24"/>
          <w:lang w:eastAsia="ru-RU"/>
        </w:rPr>
        <w:t>.р</w:t>
      </w:r>
      <w:proofErr w:type="gramEnd"/>
      <w:r w:rsidRPr="004B68FE">
        <w:rPr>
          <w:rFonts w:ascii="Century Gothic" w:eastAsia="Times New Roman" w:hAnsi="Century Gothic"/>
          <w:sz w:val="24"/>
          <w:szCs w:val="24"/>
          <w:lang w:eastAsia="ru-RU"/>
        </w:rPr>
        <w:t xml:space="preserve">уб. Факт </w:t>
      </w:r>
      <w:r w:rsidR="00390676">
        <w:rPr>
          <w:rFonts w:ascii="Century Gothic" w:eastAsia="Times New Roman" w:hAnsi="Century Gothic"/>
          <w:sz w:val="24"/>
          <w:szCs w:val="24"/>
          <w:lang w:eastAsia="ru-RU"/>
        </w:rPr>
        <w:t>13,6</w:t>
      </w:r>
      <w:r w:rsidRPr="004B68FE">
        <w:rPr>
          <w:rFonts w:ascii="Century Gothic" w:eastAsia="Times New Roman" w:hAnsi="Century Gothic"/>
          <w:sz w:val="24"/>
          <w:szCs w:val="24"/>
          <w:lang w:eastAsia="ru-RU"/>
        </w:rPr>
        <w:t xml:space="preserve"> млн.руб. – </w:t>
      </w:r>
      <w:r w:rsidR="00390676">
        <w:rPr>
          <w:rFonts w:ascii="Century Gothic" w:eastAsia="Times New Roman" w:hAnsi="Century Gothic"/>
          <w:sz w:val="24"/>
          <w:szCs w:val="24"/>
          <w:lang w:eastAsia="ru-RU"/>
        </w:rPr>
        <w:t>100</w:t>
      </w:r>
      <w:r w:rsidRPr="004B68FE">
        <w:rPr>
          <w:rFonts w:ascii="Century Gothic" w:eastAsia="Times New Roman" w:hAnsi="Century Gothic"/>
          <w:sz w:val="24"/>
          <w:szCs w:val="24"/>
          <w:lang w:eastAsia="ru-RU"/>
        </w:rPr>
        <w:t>%)</w:t>
      </w:r>
    </w:p>
    <w:p w:rsidR="008E5675" w:rsidRPr="006D6355" w:rsidRDefault="008E5675" w:rsidP="00FF3DCB">
      <w:pPr>
        <w:numPr>
          <w:ilvl w:val="3"/>
          <w:numId w:val="2"/>
        </w:numPr>
        <w:spacing w:after="0" w:line="240" w:lineRule="auto"/>
        <w:ind w:left="567" w:right="-1" w:hanging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 w:rsidRPr="006D6355">
        <w:rPr>
          <w:rFonts w:ascii="Century Gothic" w:eastAsia="Times New Roman" w:hAnsi="Century Gothic"/>
          <w:b/>
          <w:sz w:val="24"/>
          <w:szCs w:val="24"/>
          <w:lang w:eastAsia="ru-RU"/>
        </w:rPr>
        <w:t>безопасность жизнедеятельности</w:t>
      </w: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 – 2 программы (План </w:t>
      </w:r>
      <w:r w:rsidR="00390676">
        <w:rPr>
          <w:rFonts w:ascii="Century Gothic" w:eastAsia="Times New Roman" w:hAnsi="Century Gothic"/>
          <w:sz w:val="24"/>
          <w:szCs w:val="24"/>
          <w:lang w:eastAsia="ru-RU"/>
        </w:rPr>
        <w:t>18,6</w:t>
      </w:r>
      <w:r>
        <w:rPr>
          <w:rFonts w:ascii="Century Gothic" w:eastAsia="Times New Roman" w:hAnsi="Century Gothic"/>
          <w:sz w:val="24"/>
          <w:szCs w:val="24"/>
          <w:lang w:eastAsia="ru-RU"/>
        </w:rPr>
        <w:t xml:space="preserve"> </w:t>
      </w: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>млн</w:t>
      </w:r>
      <w:proofErr w:type="gramStart"/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>.р</w:t>
      </w:r>
      <w:proofErr w:type="gramEnd"/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уб. Факт </w:t>
      </w:r>
      <w:r w:rsidR="00390676">
        <w:rPr>
          <w:rFonts w:ascii="Century Gothic" w:eastAsia="Times New Roman" w:hAnsi="Century Gothic"/>
          <w:sz w:val="24"/>
          <w:szCs w:val="24"/>
          <w:lang w:eastAsia="ru-RU"/>
        </w:rPr>
        <w:t>17,8</w:t>
      </w: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 млн.руб.</w:t>
      </w:r>
      <w:r>
        <w:rPr>
          <w:rFonts w:ascii="Century Gothic" w:eastAsia="Times New Roman" w:hAnsi="Century Gothic"/>
          <w:sz w:val="24"/>
          <w:szCs w:val="24"/>
          <w:lang w:eastAsia="ru-RU"/>
        </w:rPr>
        <w:t xml:space="preserve"> – </w:t>
      </w:r>
      <w:r w:rsidR="00390676">
        <w:rPr>
          <w:rFonts w:ascii="Century Gothic" w:eastAsia="Times New Roman" w:hAnsi="Century Gothic"/>
          <w:sz w:val="24"/>
          <w:szCs w:val="24"/>
          <w:lang w:eastAsia="ru-RU"/>
        </w:rPr>
        <w:t>95,9%</w:t>
      </w: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>);</w:t>
      </w:r>
    </w:p>
    <w:p w:rsidR="008E5675" w:rsidRDefault="00F3366D" w:rsidP="00FF3DCB">
      <w:pPr>
        <w:numPr>
          <w:ilvl w:val="3"/>
          <w:numId w:val="2"/>
        </w:numPr>
        <w:spacing w:after="0" w:line="240" w:lineRule="auto"/>
        <w:ind w:left="567" w:right="-1" w:hanging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>
        <w:rPr>
          <w:rFonts w:ascii="Century Gothic" w:eastAsia="Times New Roman" w:hAnsi="Century Gothic"/>
          <w:b/>
          <w:sz w:val="24"/>
          <w:szCs w:val="24"/>
          <w:lang w:eastAsia="ru-RU"/>
        </w:rPr>
        <w:t xml:space="preserve">организация </w:t>
      </w:r>
      <w:r w:rsidR="008E5675" w:rsidRPr="006D6355">
        <w:rPr>
          <w:rFonts w:ascii="Century Gothic" w:eastAsia="Times New Roman" w:hAnsi="Century Gothic"/>
          <w:b/>
          <w:sz w:val="24"/>
          <w:szCs w:val="24"/>
          <w:lang w:eastAsia="ru-RU"/>
        </w:rPr>
        <w:t>муниципально</w:t>
      </w:r>
      <w:r>
        <w:rPr>
          <w:rFonts w:ascii="Century Gothic" w:eastAsia="Times New Roman" w:hAnsi="Century Gothic"/>
          <w:b/>
          <w:sz w:val="24"/>
          <w:szCs w:val="24"/>
          <w:lang w:eastAsia="ru-RU"/>
        </w:rPr>
        <w:t>го</w:t>
      </w:r>
      <w:r w:rsidR="008E5675" w:rsidRPr="006D6355">
        <w:rPr>
          <w:rFonts w:ascii="Century Gothic" w:eastAsia="Times New Roman" w:hAnsi="Century Gothic"/>
          <w:b/>
          <w:sz w:val="24"/>
          <w:szCs w:val="24"/>
          <w:lang w:eastAsia="ru-RU"/>
        </w:rPr>
        <w:t xml:space="preserve"> управлени</w:t>
      </w:r>
      <w:r w:rsidR="00971CFA">
        <w:rPr>
          <w:rFonts w:ascii="Century Gothic" w:eastAsia="Times New Roman" w:hAnsi="Century Gothic"/>
          <w:b/>
          <w:sz w:val="24"/>
          <w:szCs w:val="24"/>
          <w:lang w:eastAsia="ru-RU"/>
        </w:rPr>
        <w:t>я</w:t>
      </w:r>
      <w:r w:rsidR="008E5675"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 – </w:t>
      </w:r>
      <w:r w:rsidR="008E5675">
        <w:rPr>
          <w:rFonts w:ascii="Century Gothic" w:eastAsia="Times New Roman" w:hAnsi="Century Gothic"/>
          <w:sz w:val="24"/>
          <w:szCs w:val="24"/>
          <w:lang w:eastAsia="ru-RU"/>
        </w:rPr>
        <w:t>5</w:t>
      </w:r>
      <w:r w:rsidR="008E5675"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 про</w:t>
      </w:r>
      <w:r w:rsidR="008E5675">
        <w:rPr>
          <w:rFonts w:ascii="Century Gothic" w:eastAsia="Times New Roman" w:hAnsi="Century Gothic"/>
          <w:sz w:val="24"/>
          <w:szCs w:val="24"/>
          <w:lang w:eastAsia="ru-RU"/>
        </w:rPr>
        <w:t>грамм</w:t>
      </w:r>
      <w:r w:rsidR="008E5675"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 (План </w:t>
      </w:r>
      <w:r w:rsidR="00390676">
        <w:rPr>
          <w:rFonts w:ascii="Century Gothic" w:eastAsia="Times New Roman" w:hAnsi="Century Gothic"/>
          <w:sz w:val="24"/>
          <w:szCs w:val="24"/>
          <w:lang w:eastAsia="ru-RU"/>
        </w:rPr>
        <w:t>164,8</w:t>
      </w:r>
      <w:r w:rsidR="008E5675"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 млн</w:t>
      </w:r>
      <w:proofErr w:type="gramStart"/>
      <w:r w:rsidR="008E5675" w:rsidRPr="006D6355">
        <w:rPr>
          <w:rFonts w:ascii="Century Gothic" w:eastAsia="Times New Roman" w:hAnsi="Century Gothic"/>
          <w:sz w:val="24"/>
          <w:szCs w:val="24"/>
          <w:lang w:eastAsia="ru-RU"/>
        </w:rPr>
        <w:t>.р</w:t>
      </w:r>
      <w:proofErr w:type="gramEnd"/>
      <w:r w:rsidR="008E5675"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уб. Факт </w:t>
      </w:r>
      <w:r w:rsidR="00390676">
        <w:rPr>
          <w:rFonts w:ascii="Century Gothic" w:eastAsia="Times New Roman" w:hAnsi="Century Gothic"/>
          <w:sz w:val="24"/>
          <w:szCs w:val="24"/>
          <w:lang w:eastAsia="ru-RU"/>
        </w:rPr>
        <w:t>164,2</w:t>
      </w:r>
      <w:r w:rsidR="008E5675"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 млн.руб.</w:t>
      </w:r>
      <w:r w:rsidR="008E5675">
        <w:rPr>
          <w:rFonts w:ascii="Century Gothic" w:eastAsia="Times New Roman" w:hAnsi="Century Gothic"/>
          <w:sz w:val="24"/>
          <w:szCs w:val="24"/>
          <w:lang w:eastAsia="ru-RU"/>
        </w:rPr>
        <w:t xml:space="preserve"> – </w:t>
      </w:r>
      <w:r w:rsidR="00971CFA">
        <w:rPr>
          <w:rFonts w:ascii="Century Gothic" w:eastAsia="Times New Roman" w:hAnsi="Century Gothic"/>
          <w:sz w:val="24"/>
          <w:szCs w:val="24"/>
          <w:lang w:eastAsia="ru-RU"/>
        </w:rPr>
        <w:t>9</w:t>
      </w:r>
      <w:r w:rsidR="00390676">
        <w:rPr>
          <w:rFonts w:ascii="Century Gothic" w:eastAsia="Times New Roman" w:hAnsi="Century Gothic"/>
          <w:sz w:val="24"/>
          <w:szCs w:val="24"/>
          <w:lang w:eastAsia="ru-RU"/>
        </w:rPr>
        <w:t>9,6</w:t>
      </w:r>
      <w:r w:rsidR="008E5675">
        <w:rPr>
          <w:rFonts w:ascii="Century Gothic" w:eastAsia="Times New Roman" w:hAnsi="Century Gothic"/>
          <w:sz w:val="24"/>
          <w:szCs w:val="24"/>
          <w:lang w:eastAsia="ru-RU"/>
        </w:rPr>
        <w:t>%</w:t>
      </w:r>
      <w:r w:rsidR="008E5675" w:rsidRPr="006D6355">
        <w:rPr>
          <w:rFonts w:ascii="Century Gothic" w:eastAsia="Times New Roman" w:hAnsi="Century Gothic"/>
          <w:sz w:val="24"/>
          <w:szCs w:val="24"/>
          <w:lang w:eastAsia="ru-RU"/>
        </w:rPr>
        <w:t>).</w:t>
      </w:r>
    </w:p>
    <w:p w:rsidR="00C71BAA" w:rsidRPr="006D6355" w:rsidRDefault="00C71BAA" w:rsidP="00FF3DCB">
      <w:pPr>
        <w:spacing w:after="0" w:line="240" w:lineRule="auto"/>
        <w:ind w:left="927" w:right="-1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</w:p>
    <w:p w:rsidR="008E5675" w:rsidRPr="006D6355" w:rsidRDefault="008E5675" w:rsidP="00FF3DCB">
      <w:pPr>
        <w:spacing w:after="0" w:line="240" w:lineRule="auto"/>
        <w:ind w:right="-1"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 w:rsidRPr="006D6355">
        <w:rPr>
          <w:rFonts w:ascii="Century Gothic" w:eastAsia="Times New Roman" w:hAnsi="Century Gothic"/>
          <w:b/>
          <w:i/>
          <w:sz w:val="24"/>
          <w:szCs w:val="24"/>
          <w:lang w:eastAsia="ru-RU"/>
        </w:rPr>
        <w:t>Фактический объем финансирования программ в 201</w:t>
      </w:r>
      <w:r w:rsidR="00390676">
        <w:rPr>
          <w:rFonts w:ascii="Century Gothic" w:eastAsia="Times New Roman" w:hAnsi="Century Gothic"/>
          <w:b/>
          <w:i/>
          <w:sz w:val="24"/>
          <w:szCs w:val="24"/>
          <w:lang w:eastAsia="ru-RU"/>
        </w:rPr>
        <w:t>8</w:t>
      </w:r>
      <w:r w:rsidRPr="006D6355">
        <w:rPr>
          <w:rFonts w:ascii="Century Gothic" w:eastAsia="Times New Roman" w:hAnsi="Century Gothic"/>
          <w:b/>
          <w:i/>
          <w:sz w:val="24"/>
          <w:szCs w:val="24"/>
          <w:lang w:eastAsia="ru-RU"/>
        </w:rPr>
        <w:t xml:space="preserve">г. из бюджета города составил </w:t>
      </w:r>
      <w:r>
        <w:rPr>
          <w:rFonts w:ascii="Century Gothic" w:eastAsia="Times New Roman" w:hAnsi="Century Gothic"/>
          <w:b/>
          <w:i/>
          <w:sz w:val="24"/>
          <w:szCs w:val="24"/>
          <w:lang w:eastAsia="ru-RU"/>
        </w:rPr>
        <w:t>1</w:t>
      </w:r>
      <w:r w:rsidR="00C26A48" w:rsidRPr="00C26A48">
        <w:rPr>
          <w:rFonts w:ascii="Century Gothic" w:eastAsia="Times New Roman" w:hAnsi="Century Gothic"/>
          <w:b/>
          <w:i/>
          <w:sz w:val="24"/>
          <w:szCs w:val="24"/>
          <w:lang w:eastAsia="ru-RU"/>
        </w:rPr>
        <w:t>7</w:t>
      </w:r>
      <w:r w:rsidR="00DC2BE4">
        <w:rPr>
          <w:rFonts w:ascii="Century Gothic" w:eastAsia="Times New Roman" w:hAnsi="Century Gothic"/>
          <w:b/>
          <w:i/>
          <w:sz w:val="24"/>
          <w:szCs w:val="24"/>
          <w:lang w:eastAsia="ru-RU"/>
        </w:rPr>
        <w:t>75,0</w:t>
      </w:r>
      <w:r w:rsidRPr="006D6355">
        <w:rPr>
          <w:rFonts w:ascii="Century Gothic" w:eastAsia="Times New Roman" w:hAnsi="Century Gothic"/>
          <w:b/>
          <w:i/>
          <w:sz w:val="24"/>
          <w:szCs w:val="24"/>
          <w:lang w:eastAsia="ru-RU"/>
        </w:rPr>
        <w:t xml:space="preserve"> млн</w:t>
      </w:r>
      <w:proofErr w:type="gramStart"/>
      <w:r w:rsidRPr="006D6355">
        <w:rPr>
          <w:rFonts w:ascii="Century Gothic" w:eastAsia="Times New Roman" w:hAnsi="Century Gothic"/>
          <w:b/>
          <w:i/>
          <w:sz w:val="24"/>
          <w:szCs w:val="24"/>
          <w:lang w:eastAsia="ru-RU"/>
        </w:rPr>
        <w:t>.р</w:t>
      </w:r>
      <w:proofErr w:type="gramEnd"/>
      <w:r w:rsidRPr="006D6355">
        <w:rPr>
          <w:rFonts w:ascii="Century Gothic" w:eastAsia="Times New Roman" w:hAnsi="Century Gothic"/>
          <w:b/>
          <w:i/>
          <w:sz w:val="24"/>
          <w:szCs w:val="24"/>
          <w:lang w:eastAsia="ru-RU"/>
        </w:rPr>
        <w:t>уб.</w:t>
      </w: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, или </w:t>
      </w:r>
      <w:r w:rsidR="00DC2BE4">
        <w:rPr>
          <w:rFonts w:ascii="Century Gothic" w:eastAsia="Times New Roman" w:hAnsi="Century Gothic"/>
          <w:sz w:val="24"/>
          <w:szCs w:val="24"/>
          <w:lang w:eastAsia="ru-RU"/>
        </w:rPr>
        <w:t>95,5</w:t>
      </w: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% от уточненного плана </w:t>
      </w:r>
      <w:r w:rsidR="00FC1277">
        <w:rPr>
          <w:rFonts w:ascii="Century Gothic" w:eastAsia="Times New Roman" w:hAnsi="Century Gothic"/>
          <w:sz w:val="24"/>
          <w:szCs w:val="24"/>
          <w:lang w:eastAsia="ru-RU"/>
        </w:rPr>
        <w:t>(в 201</w:t>
      </w:r>
      <w:r w:rsidR="00DC2BE4">
        <w:rPr>
          <w:rFonts w:ascii="Century Gothic" w:eastAsia="Times New Roman" w:hAnsi="Century Gothic"/>
          <w:sz w:val="24"/>
          <w:szCs w:val="24"/>
          <w:lang w:eastAsia="ru-RU"/>
        </w:rPr>
        <w:t>7</w:t>
      </w:r>
      <w:r w:rsidR="00FC1277">
        <w:rPr>
          <w:rFonts w:ascii="Century Gothic" w:eastAsia="Times New Roman" w:hAnsi="Century Gothic"/>
          <w:sz w:val="24"/>
          <w:szCs w:val="24"/>
          <w:lang w:eastAsia="ru-RU"/>
        </w:rPr>
        <w:t xml:space="preserve"> г. – </w:t>
      </w:r>
      <w:r w:rsidR="003E10CB">
        <w:rPr>
          <w:rFonts w:ascii="Century Gothic" w:eastAsia="Times New Roman" w:hAnsi="Century Gothic"/>
          <w:sz w:val="24"/>
          <w:szCs w:val="24"/>
          <w:lang w:eastAsia="ru-RU"/>
        </w:rPr>
        <w:t>99,1%</w:t>
      </w:r>
      <w:r w:rsidR="00FC1277">
        <w:rPr>
          <w:rFonts w:ascii="Century Gothic" w:eastAsia="Times New Roman" w:hAnsi="Century Gothic"/>
          <w:sz w:val="24"/>
          <w:szCs w:val="24"/>
          <w:lang w:eastAsia="ru-RU"/>
        </w:rPr>
        <w:t>).</w:t>
      </w:r>
    </w:p>
    <w:p w:rsidR="00FC1277" w:rsidRDefault="00FC1277" w:rsidP="00FF3DCB">
      <w:pPr>
        <w:pStyle w:val="a6"/>
        <w:tabs>
          <w:tab w:val="left" w:pos="-6096"/>
          <w:tab w:val="left" w:pos="0"/>
          <w:tab w:val="left" w:pos="916"/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</w:p>
    <w:p w:rsidR="008E5675" w:rsidRPr="006D6355" w:rsidRDefault="008E5675" w:rsidP="00FF3DCB">
      <w:pPr>
        <w:pStyle w:val="a6"/>
        <w:tabs>
          <w:tab w:val="left" w:pos="-6096"/>
          <w:tab w:val="left" w:pos="0"/>
          <w:tab w:val="left" w:pos="916"/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Общая сумма затрат на реализацию </w:t>
      </w:r>
      <w:r w:rsidR="005968BF" w:rsidRPr="00367DDC">
        <w:rPr>
          <w:rFonts w:ascii="Century Gothic" w:eastAsia="Times New Roman" w:hAnsi="Century Gothic"/>
          <w:sz w:val="24"/>
          <w:szCs w:val="24"/>
          <w:lang w:eastAsia="ru-RU"/>
        </w:rPr>
        <w:t>2</w:t>
      </w:r>
      <w:r w:rsidR="00DC2BE4">
        <w:rPr>
          <w:rFonts w:ascii="Century Gothic" w:eastAsia="Times New Roman" w:hAnsi="Century Gothic"/>
          <w:sz w:val="24"/>
          <w:szCs w:val="24"/>
          <w:lang w:eastAsia="ru-RU"/>
        </w:rPr>
        <w:t>3</w:t>
      </w:r>
      <w:r w:rsidRPr="00367DDC">
        <w:rPr>
          <w:rFonts w:ascii="Century Gothic" w:eastAsia="Times New Roman" w:hAnsi="Century Gothic"/>
          <w:sz w:val="24"/>
          <w:szCs w:val="24"/>
          <w:lang w:eastAsia="ru-RU"/>
        </w:rPr>
        <w:t xml:space="preserve"> программ</w:t>
      </w: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 в 201</w:t>
      </w:r>
      <w:r w:rsidR="00621ACE">
        <w:rPr>
          <w:rFonts w:ascii="Century Gothic" w:eastAsia="Times New Roman" w:hAnsi="Century Gothic"/>
          <w:sz w:val="24"/>
          <w:szCs w:val="24"/>
          <w:lang w:eastAsia="ru-RU"/>
        </w:rPr>
        <w:t>8</w:t>
      </w: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 году </w:t>
      </w:r>
      <w:r w:rsidRPr="00367DDC">
        <w:rPr>
          <w:rFonts w:ascii="Century Gothic" w:eastAsia="Times New Roman" w:hAnsi="Century Gothic"/>
          <w:sz w:val="24"/>
          <w:szCs w:val="24"/>
          <w:u w:val="single"/>
          <w:lang w:eastAsia="ru-RU"/>
        </w:rPr>
        <w:t>по данным департаментов-исполнителей</w:t>
      </w: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 составила </w:t>
      </w:r>
      <w:r w:rsidR="00DC2BE4">
        <w:rPr>
          <w:rFonts w:ascii="Century Gothic" w:eastAsia="Times New Roman" w:hAnsi="Century Gothic"/>
          <w:b/>
          <w:sz w:val="24"/>
          <w:szCs w:val="24"/>
          <w:lang w:eastAsia="ru-RU"/>
        </w:rPr>
        <w:t>5772,2</w:t>
      </w:r>
      <w:r w:rsidRPr="006D6355">
        <w:rPr>
          <w:rFonts w:ascii="Century Gothic" w:eastAsia="Times New Roman" w:hAnsi="Century Gothic"/>
          <w:b/>
          <w:sz w:val="24"/>
          <w:szCs w:val="24"/>
          <w:lang w:eastAsia="ru-RU"/>
        </w:rPr>
        <w:t xml:space="preserve"> млн</w:t>
      </w:r>
      <w:proofErr w:type="gramStart"/>
      <w:r w:rsidRPr="006D6355">
        <w:rPr>
          <w:rFonts w:ascii="Century Gothic" w:eastAsia="Times New Roman" w:hAnsi="Century Gothic"/>
          <w:b/>
          <w:sz w:val="24"/>
          <w:szCs w:val="24"/>
          <w:lang w:eastAsia="ru-RU"/>
        </w:rPr>
        <w:t>.р</w:t>
      </w:r>
      <w:proofErr w:type="gramEnd"/>
      <w:r w:rsidRPr="006D6355">
        <w:rPr>
          <w:rFonts w:ascii="Century Gothic" w:eastAsia="Times New Roman" w:hAnsi="Century Gothic"/>
          <w:b/>
          <w:sz w:val="24"/>
          <w:szCs w:val="24"/>
          <w:lang w:eastAsia="ru-RU"/>
        </w:rPr>
        <w:t>уб</w:t>
      </w: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., в т.ч. </w:t>
      </w:r>
    </w:p>
    <w:p w:rsidR="008E5675" w:rsidRPr="006D6355" w:rsidRDefault="008E5675" w:rsidP="00FF3DCB">
      <w:pPr>
        <w:pStyle w:val="a6"/>
        <w:tabs>
          <w:tab w:val="left" w:pos="-6096"/>
          <w:tab w:val="left" w:pos="0"/>
          <w:tab w:val="left" w:pos="916"/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средства городского бюджета – </w:t>
      </w:r>
      <w:r w:rsidR="005968BF">
        <w:rPr>
          <w:rFonts w:ascii="Century Gothic" w:eastAsia="Times New Roman" w:hAnsi="Century Gothic"/>
          <w:sz w:val="24"/>
          <w:szCs w:val="24"/>
          <w:lang w:eastAsia="ru-RU"/>
        </w:rPr>
        <w:t>1</w:t>
      </w:r>
      <w:r w:rsidR="00487A08" w:rsidRPr="00487A08">
        <w:rPr>
          <w:rFonts w:ascii="Century Gothic" w:eastAsia="Times New Roman" w:hAnsi="Century Gothic"/>
          <w:sz w:val="24"/>
          <w:szCs w:val="24"/>
          <w:lang w:eastAsia="ru-RU"/>
        </w:rPr>
        <w:t>7</w:t>
      </w:r>
      <w:r w:rsidR="00DC2BE4">
        <w:rPr>
          <w:rFonts w:ascii="Century Gothic" w:eastAsia="Times New Roman" w:hAnsi="Century Gothic"/>
          <w:sz w:val="24"/>
          <w:szCs w:val="24"/>
          <w:lang w:eastAsia="ru-RU"/>
        </w:rPr>
        <w:t>75,0</w:t>
      </w: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 млн</w:t>
      </w:r>
      <w:proofErr w:type="gramStart"/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>.р</w:t>
      </w:r>
      <w:proofErr w:type="gramEnd"/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уб., </w:t>
      </w:r>
    </w:p>
    <w:p w:rsidR="008E5675" w:rsidRPr="006D6355" w:rsidRDefault="008E5675" w:rsidP="00FF3DCB">
      <w:pPr>
        <w:pStyle w:val="a6"/>
        <w:tabs>
          <w:tab w:val="left" w:pos="-6096"/>
          <w:tab w:val="left" w:pos="0"/>
          <w:tab w:val="left" w:pos="916"/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средства областного бюджета – </w:t>
      </w:r>
      <w:r w:rsidR="00487A08" w:rsidRPr="00487A08">
        <w:rPr>
          <w:rFonts w:ascii="Century Gothic" w:eastAsia="Times New Roman" w:hAnsi="Century Gothic"/>
          <w:sz w:val="24"/>
          <w:szCs w:val="24"/>
          <w:lang w:eastAsia="ru-RU"/>
        </w:rPr>
        <w:t>2</w:t>
      </w:r>
      <w:r w:rsidR="00DC2BE4">
        <w:rPr>
          <w:rFonts w:ascii="Century Gothic" w:eastAsia="Times New Roman" w:hAnsi="Century Gothic"/>
          <w:sz w:val="24"/>
          <w:szCs w:val="24"/>
          <w:lang w:eastAsia="ru-RU"/>
        </w:rPr>
        <w:t>989,7</w:t>
      </w: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 млн</w:t>
      </w:r>
      <w:proofErr w:type="gramStart"/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>.р</w:t>
      </w:r>
      <w:proofErr w:type="gramEnd"/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уб., </w:t>
      </w:r>
    </w:p>
    <w:p w:rsidR="008E5675" w:rsidRPr="006D6355" w:rsidRDefault="008E5675" w:rsidP="00FF3DCB">
      <w:pPr>
        <w:pStyle w:val="a6"/>
        <w:tabs>
          <w:tab w:val="left" w:pos="-6096"/>
          <w:tab w:val="left" w:pos="0"/>
          <w:tab w:val="left" w:pos="916"/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средства федерального бюджета – </w:t>
      </w:r>
      <w:r w:rsidR="00DC2BE4">
        <w:rPr>
          <w:rFonts w:ascii="Century Gothic" w:eastAsia="Times New Roman" w:hAnsi="Century Gothic"/>
          <w:sz w:val="24"/>
          <w:szCs w:val="24"/>
          <w:lang w:eastAsia="ru-RU"/>
        </w:rPr>
        <w:t>918,7</w:t>
      </w: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 млн</w:t>
      </w:r>
      <w:proofErr w:type="gramStart"/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>.р</w:t>
      </w:r>
      <w:proofErr w:type="gramEnd"/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уб., </w:t>
      </w:r>
    </w:p>
    <w:p w:rsidR="008E5675" w:rsidRPr="006D6355" w:rsidRDefault="008E5675" w:rsidP="00FF3DCB">
      <w:pPr>
        <w:pStyle w:val="a6"/>
        <w:tabs>
          <w:tab w:val="left" w:pos="-6096"/>
          <w:tab w:val="left" w:pos="0"/>
          <w:tab w:val="left" w:pos="916"/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другие источники </w:t>
      </w:r>
      <w:r w:rsidR="00487A08">
        <w:rPr>
          <w:rFonts w:ascii="Century Gothic" w:eastAsia="Times New Roman" w:hAnsi="Century Gothic"/>
          <w:sz w:val="24"/>
          <w:szCs w:val="24"/>
          <w:lang w:val="en-US" w:eastAsia="ru-RU"/>
        </w:rPr>
        <w:t>8</w:t>
      </w:r>
      <w:r w:rsidR="00DC2BE4">
        <w:rPr>
          <w:rFonts w:ascii="Century Gothic" w:eastAsia="Times New Roman" w:hAnsi="Century Gothic"/>
          <w:sz w:val="24"/>
          <w:szCs w:val="24"/>
          <w:lang w:eastAsia="ru-RU"/>
        </w:rPr>
        <w:t>8,8</w:t>
      </w: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 млн</w:t>
      </w:r>
      <w:proofErr w:type="gramStart"/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>.р</w:t>
      </w:r>
      <w:proofErr w:type="gramEnd"/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уб. </w:t>
      </w:r>
    </w:p>
    <w:p w:rsidR="008E5675" w:rsidRPr="00367DDC" w:rsidRDefault="006B7AD4" w:rsidP="00FC1277">
      <w:pPr>
        <w:pStyle w:val="a6"/>
        <w:tabs>
          <w:tab w:val="left" w:pos="-6096"/>
          <w:tab w:val="left" w:pos="0"/>
          <w:tab w:val="left" w:pos="916"/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Century Gothic" w:eastAsia="Times New Roman" w:hAnsi="Century Gothic"/>
          <w:color w:val="FF0000"/>
          <w:sz w:val="24"/>
          <w:szCs w:val="24"/>
          <w:lang w:eastAsia="ru-RU"/>
        </w:rPr>
      </w:pPr>
      <w:r>
        <w:rPr>
          <w:rFonts w:ascii="Century Gothic" w:eastAsia="Times New Roman" w:hAnsi="Century Gothic"/>
          <w:noProof/>
          <w:color w:val="FF0000"/>
          <w:sz w:val="24"/>
          <w:szCs w:val="24"/>
          <w:lang w:eastAsia="ru-RU"/>
        </w:rPr>
        <w:drawing>
          <wp:inline distT="0" distB="0" distL="0" distR="0">
            <wp:extent cx="5621729" cy="3681351"/>
            <wp:effectExtent l="19050" t="0" r="0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367DDC" w:rsidRDefault="00367DDC" w:rsidP="008E5675">
      <w:pPr>
        <w:pStyle w:val="a6"/>
        <w:tabs>
          <w:tab w:val="left" w:pos="-6096"/>
          <w:tab w:val="left" w:pos="0"/>
          <w:tab w:val="left" w:pos="916"/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</w:p>
    <w:p w:rsidR="00C71BAA" w:rsidRPr="008A79DD" w:rsidRDefault="00C71BAA" w:rsidP="008E5675">
      <w:pPr>
        <w:pStyle w:val="a6"/>
        <w:tabs>
          <w:tab w:val="left" w:pos="-6096"/>
          <w:tab w:val="left" w:pos="0"/>
          <w:tab w:val="left" w:pos="916"/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>
        <w:rPr>
          <w:rFonts w:ascii="Century Gothic" w:eastAsia="Times New Roman" w:hAnsi="Century Gothic"/>
          <w:sz w:val="24"/>
          <w:szCs w:val="24"/>
          <w:lang w:eastAsia="ru-RU"/>
        </w:rPr>
        <w:t xml:space="preserve">Доля фактических объемов финансирования программ, направленная на мероприятия по развитию (мероприятия непосредственно МП) составила </w:t>
      </w:r>
      <w:r w:rsidR="00753442">
        <w:rPr>
          <w:rFonts w:ascii="Century Gothic" w:eastAsia="Times New Roman" w:hAnsi="Century Gothic"/>
          <w:sz w:val="24"/>
          <w:szCs w:val="24"/>
          <w:lang w:eastAsia="ru-RU"/>
        </w:rPr>
        <w:t>21</w:t>
      </w:r>
      <w:r w:rsidRPr="008A79DD">
        <w:rPr>
          <w:rFonts w:ascii="Century Gothic" w:eastAsia="Times New Roman" w:hAnsi="Century Gothic"/>
          <w:sz w:val="24"/>
          <w:szCs w:val="24"/>
          <w:lang w:eastAsia="ru-RU"/>
        </w:rPr>
        <w:t>% (</w:t>
      </w:r>
      <w:r w:rsidR="00753442">
        <w:rPr>
          <w:rFonts w:ascii="Century Gothic" w:eastAsia="Times New Roman" w:hAnsi="Century Gothic"/>
          <w:sz w:val="24"/>
          <w:szCs w:val="24"/>
          <w:lang w:eastAsia="ru-RU"/>
        </w:rPr>
        <w:t>1213,7</w:t>
      </w:r>
      <w:r w:rsidRPr="008A79DD">
        <w:rPr>
          <w:rFonts w:ascii="Century Gothic" w:eastAsia="Times New Roman" w:hAnsi="Century Gothic"/>
          <w:sz w:val="24"/>
          <w:szCs w:val="24"/>
          <w:lang w:eastAsia="ru-RU"/>
        </w:rPr>
        <w:t xml:space="preserve"> млн</w:t>
      </w:r>
      <w:proofErr w:type="gramStart"/>
      <w:r w:rsidRPr="008A79DD">
        <w:rPr>
          <w:rFonts w:ascii="Century Gothic" w:eastAsia="Times New Roman" w:hAnsi="Century Gothic"/>
          <w:sz w:val="24"/>
          <w:szCs w:val="24"/>
          <w:lang w:eastAsia="ru-RU"/>
        </w:rPr>
        <w:t>.р</w:t>
      </w:r>
      <w:proofErr w:type="gramEnd"/>
      <w:r w:rsidRPr="008A79DD">
        <w:rPr>
          <w:rFonts w:ascii="Century Gothic" w:eastAsia="Times New Roman" w:hAnsi="Century Gothic"/>
          <w:sz w:val="24"/>
          <w:szCs w:val="24"/>
          <w:lang w:eastAsia="ru-RU"/>
        </w:rPr>
        <w:t xml:space="preserve">уб.), доля объемов финансирования, направленная на обеспечение текущей деятельности (мероприятия ВЦП) составила </w:t>
      </w:r>
      <w:r w:rsidR="00753442">
        <w:rPr>
          <w:rFonts w:ascii="Century Gothic" w:eastAsia="Times New Roman" w:hAnsi="Century Gothic"/>
          <w:sz w:val="24"/>
          <w:szCs w:val="24"/>
          <w:lang w:eastAsia="ru-RU"/>
        </w:rPr>
        <w:t>79</w:t>
      </w:r>
      <w:r w:rsidR="008A79DD" w:rsidRPr="008A79DD">
        <w:rPr>
          <w:rFonts w:ascii="Century Gothic" w:eastAsia="Times New Roman" w:hAnsi="Century Gothic"/>
          <w:sz w:val="24"/>
          <w:szCs w:val="24"/>
          <w:lang w:eastAsia="ru-RU"/>
        </w:rPr>
        <w:t xml:space="preserve"> </w:t>
      </w:r>
      <w:r w:rsidRPr="008A79DD">
        <w:rPr>
          <w:rFonts w:ascii="Century Gothic" w:eastAsia="Times New Roman" w:hAnsi="Century Gothic"/>
          <w:sz w:val="24"/>
          <w:szCs w:val="24"/>
          <w:lang w:eastAsia="ru-RU"/>
        </w:rPr>
        <w:t>% (</w:t>
      </w:r>
      <w:r w:rsidR="00753442">
        <w:rPr>
          <w:rFonts w:ascii="Century Gothic" w:eastAsia="Times New Roman" w:hAnsi="Century Gothic"/>
          <w:sz w:val="24"/>
          <w:szCs w:val="24"/>
          <w:lang w:eastAsia="ru-RU"/>
        </w:rPr>
        <w:t xml:space="preserve">4558,6 </w:t>
      </w:r>
      <w:r w:rsidRPr="008A79DD">
        <w:rPr>
          <w:rFonts w:ascii="Century Gothic" w:eastAsia="Times New Roman" w:hAnsi="Century Gothic"/>
          <w:sz w:val="24"/>
          <w:szCs w:val="24"/>
          <w:lang w:eastAsia="ru-RU"/>
        </w:rPr>
        <w:t>млн.руб.).</w:t>
      </w:r>
    </w:p>
    <w:p w:rsidR="00C71BAA" w:rsidRDefault="00C71BAA" w:rsidP="008E5675">
      <w:pPr>
        <w:pStyle w:val="a6"/>
        <w:tabs>
          <w:tab w:val="left" w:pos="-6096"/>
          <w:tab w:val="left" w:pos="0"/>
          <w:tab w:val="left" w:pos="916"/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</w:p>
    <w:p w:rsidR="008E5675" w:rsidRDefault="008E5675" w:rsidP="008E5675">
      <w:pPr>
        <w:pStyle w:val="a6"/>
        <w:tabs>
          <w:tab w:val="left" w:pos="-6096"/>
          <w:tab w:val="left" w:pos="0"/>
          <w:tab w:val="left" w:pos="916"/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>Детальный отчет о выполненных мероприятиях, их количественных характеристиках, стоимости и источник</w:t>
      </w:r>
      <w:r w:rsidR="00FF3DCB">
        <w:rPr>
          <w:rFonts w:ascii="Century Gothic" w:eastAsia="Times New Roman" w:hAnsi="Century Gothic"/>
          <w:sz w:val="24"/>
          <w:szCs w:val="24"/>
          <w:lang w:eastAsia="ru-RU"/>
        </w:rPr>
        <w:t>ах</w:t>
      </w: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 финансирования</w:t>
      </w:r>
      <w:r w:rsidR="00FF3DCB">
        <w:rPr>
          <w:rFonts w:ascii="Century Gothic" w:eastAsia="Times New Roman" w:hAnsi="Century Gothic"/>
          <w:sz w:val="24"/>
          <w:szCs w:val="24"/>
          <w:lang w:eastAsia="ru-RU"/>
        </w:rPr>
        <w:t xml:space="preserve"> всех МП и ВЦП</w:t>
      </w: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 приведен в Приложении 1</w:t>
      </w:r>
      <w:r w:rsidR="00FF3DCB">
        <w:rPr>
          <w:rFonts w:ascii="Century Gothic" w:eastAsia="Times New Roman" w:hAnsi="Century Gothic"/>
          <w:sz w:val="24"/>
          <w:szCs w:val="24"/>
          <w:lang w:eastAsia="ru-RU"/>
        </w:rPr>
        <w:t xml:space="preserve"> в составе Программы-2020</w:t>
      </w: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>.</w:t>
      </w:r>
    </w:p>
    <w:p w:rsidR="00C71BAA" w:rsidRPr="006D6355" w:rsidRDefault="00C71BAA" w:rsidP="008E5675">
      <w:pPr>
        <w:pStyle w:val="a6"/>
        <w:tabs>
          <w:tab w:val="left" w:pos="-6096"/>
          <w:tab w:val="left" w:pos="0"/>
          <w:tab w:val="left" w:pos="916"/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</w:p>
    <w:p w:rsidR="00FB3AED" w:rsidRPr="00FB3AED" w:rsidRDefault="005968BF" w:rsidP="005968BF">
      <w:pPr>
        <w:spacing w:after="0" w:line="240" w:lineRule="auto"/>
        <w:ind w:right="-1"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lastRenderedPageBreak/>
        <w:t>В 201</w:t>
      </w:r>
      <w:r w:rsidR="009A20E2">
        <w:rPr>
          <w:rFonts w:ascii="Century Gothic" w:eastAsia="Times New Roman" w:hAnsi="Century Gothic"/>
          <w:sz w:val="24"/>
          <w:szCs w:val="24"/>
          <w:lang w:eastAsia="ru-RU"/>
        </w:rPr>
        <w:t>8</w:t>
      </w:r>
      <w:r>
        <w:rPr>
          <w:rFonts w:ascii="Century Gothic" w:eastAsia="Times New Roman" w:hAnsi="Century Gothic"/>
          <w:sz w:val="24"/>
          <w:szCs w:val="24"/>
          <w:lang w:eastAsia="ru-RU"/>
        </w:rPr>
        <w:t>г. в рамках 1</w:t>
      </w:r>
      <w:r w:rsidR="009A20E2">
        <w:rPr>
          <w:rFonts w:ascii="Century Gothic" w:eastAsia="Times New Roman" w:hAnsi="Century Gothic"/>
          <w:sz w:val="24"/>
          <w:szCs w:val="24"/>
          <w:lang w:eastAsia="ru-RU"/>
        </w:rPr>
        <w:t>4</w:t>
      </w: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 программ, осуществлялось софинансирование из областного и федерального бюджетов</w:t>
      </w:r>
      <w:r w:rsidR="0077714B">
        <w:rPr>
          <w:rFonts w:ascii="Century Gothic" w:eastAsia="Times New Roman" w:hAnsi="Century Gothic"/>
          <w:sz w:val="24"/>
          <w:szCs w:val="24"/>
          <w:lang w:eastAsia="ru-RU"/>
        </w:rPr>
        <w:t xml:space="preserve"> </w:t>
      </w: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 (таблица </w:t>
      </w:r>
      <w:r>
        <w:rPr>
          <w:rFonts w:ascii="Century Gothic" w:eastAsia="Times New Roman" w:hAnsi="Century Gothic"/>
          <w:sz w:val="24"/>
          <w:szCs w:val="24"/>
          <w:lang w:eastAsia="ru-RU"/>
        </w:rPr>
        <w:t>1</w:t>
      </w: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>).</w:t>
      </w:r>
    </w:p>
    <w:p w:rsidR="005968BF" w:rsidRPr="007411F4" w:rsidRDefault="005968BF" w:rsidP="005968BF">
      <w:pPr>
        <w:spacing w:after="0" w:line="240" w:lineRule="auto"/>
        <w:ind w:right="-1" w:firstLine="567"/>
        <w:jc w:val="both"/>
        <w:rPr>
          <w:rFonts w:ascii="Century Gothic" w:eastAsia="Times New Roman" w:hAnsi="Century Gothic"/>
          <w:color w:val="FF0000"/>
          <w:sz w:val="24"/>
          <w:szCs w:val="24"/>
          <w:lang w:eastAsia="ru-RU"/>
        </w:rPr>
      </w:pP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 </w:t>
      </w:r>
      <w:r w:rsidRPr="006D6355">
        <w:rPr>
          <w:rFonts w:ascii="Century Gothic" w:eastAsia="Times New Roman" w:hAnsi="Century Gothic"/>
          <w:b/>
          <w:i/>
          <w:sz w:val="24"/>
          <w:szCs w:val="24"/>
          <w:lang w:eastAsia="ru-RU"/>
        </w:rPr>
        <w:t>Общая сумма</w:t>
      </w:r>
      <w:r w:rsidR="00FB3AED" w:rsidRPr="00FB3AED">
        <w:rPr>
          <w:rFonts w:ascii="Century Gothic" w:eastAsia="Times New Roman" w:hAnsi="Century Gothic"/>
          <w:b/>
          <w:i/>
          <w:sz w:val="24"/>
          <w:szCs w:val="24"/>
          <w:lang w:eastAsia="ru-RU"/>
        </w:rPr>
        <w:t xml:space="preserve"> </w:t>
      </w:r>
      <w:r w:rsidR="00FB3AED">
        <w:rPr>
          <w:rFonts w:ascii="Century Gothic" w:eastAsia="Times New Roman" w:hAnsi="Century Gothic"/>
          <w:b/>
          <w:i/>
          <w:sz w:val="24"/>
          <w:szCs w:val="24"/>
          <w:lang w:eastAsia="ru-RU"/>
        </w:rPr>
        <w:t xml:space="preserve">по всем программам в целом по привлечению </w:t>
      </w:r>
      <w:r w:rsidRPr="006D6355">
        <w:rPr>
          <w:rFonts w:ascii="Century Gothic" w:eastAsia="Times New Roman" w:hAnsi="Century Gothic"/>
          <w:b/>
          <w:i/>
          <w:sz w:val="24"/>
          <w:szCs w:val="24"/>
          <w:lang w:eastAsia="ru-RU"/>
        </w:rPr>
        <w:t xml:space="preserve"> средств из вышестоящих бюджетов и внебюджетных источников составила </w:t>
      </w:r>
      <w:r w:rsidR="00753442">
        <w:rPr>
          <w:rFonts w:ascii="Century Gothic" w:eastAsia="Times New Roman" w:hAnsi="Century Gothic"/>
          <w:b/>
          <w:i/>
          <w:color w:val="000000" w:themeColor="text1"/>
          <w:sz w:val="24"/>
          <w:szCs w:val="24"/>
          <w:lang w:eastAsia="ru-RU"/>
        </w:rPr>
        <w:t>3997,2</w:t>
      </w:r>
      <w:r w:rsidRPr="00BE0E54">
        <w:rPr>
          <w:rFonts w:ascii="Century Gothic" w:eastAsia="Times New Roman" w:hAnsi="Century Gothic"/>
          <w:b/>
          <w:i/>
          <w:color w:val="000000" w:themeColor="text1"/>
          <w:sz w:val="24"/>
          <w:szCs w:val="24"/>
          <w:lang w:eastAsia="ru-RU"/>
        </w:rPr>
        <w:t xml:space="preserve"> млн. руб</w:t>
      </w:r>
      <w:r w:rsidRPr="007411F4">
        <w:rPr>
          <w:rFonts w:ascii="Century Gothic" w:eastAsia="Times New Roman" w:hAnsi="Century Gothic"/>
          <w:color w:val="FF0000"/>
          <w:sz w:val="24"/>
          <w:szCs w:val="24"/>
          <w:lang w:eastAsia="ru-RU"/>
        </w:rPr>
        <w:t xml:space="preserve">. </w:t>
      </w:r>
    </w:p>
    <w:p w:rsidR="008A79DD" w:rsidRDefault="008A79DD" w:rsidP="005968BF">
      <w:pPr>
        <w:spacing w:after="0" w:line="240" w:lineRule="auto"/>
        <w:ind w:right="-1"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</w:p>
    <w:tbl>
      <w:tblPr>
        <w:tblW w:w="10182" w:type="dxa"/>
        <w:tblInd w:w="89" w:type="dxa"/>
        <w:tblLayout w:type="fixed"/>
        <w:tblLook w:val="04A0"/>
      </w:tblPr>
      <w:tblGrid>
        <w:gridCol w:w="586"/>
        <w:gridCol w:w="134"/>
        <w:gridCol w:w="5111"/>
        <w:gridCol w:w="1134"/>
        <w:gridCol w:w="992"/>
        <w:gridCol w:w="1134"/>
        <w:gridCol w:w="1091"/>
      </w:tblGrid>
      <w:tr w:rsidR="00B14C92" w:rsidRPr="00B14C92" w:rsidTr="00F973E5">
        <w:trPr>
          <w:trHeight w:val="20"/>
        </w:trPr>
        <w:tc>
          <w:tcPr>
            <w:tcW w:w="72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C92" w:rsidRPr="00B14C92" w:rsidRDefault="00B14C92" w:rsidP="00B14C92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ru-RU"/>
              </w:rPr>
            </w:pPr>
            <w:bookmarkStart w:id="0" w:name="RANGE!A1:F19"/>
            <w:bookmarkEnd w:id="0"/>
          </w:p>
        </w:tc>
        <w:tc>
          <w:tcPr>
            <w:tcW w:w="5111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C92" w:rsidRPr="00B14C92" w:rsidRDefault="00B14C92" w:rsidP="00B14C92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C92" w:rsidRPr="00B14C92" w:rsidRDefault="00B14C92" w:rsidP="00B14C92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C92" w:rsidRPr="00B14C92" w:rsidRDefault="00B14C92" w:rsidP="00B14C92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ru-RU"/>
              </w:rPr>
            </w:pPr>
          </w:p>
        </w:tc>
        <w:tc>
          <w:tcPr>
            <w:tcW w:w="222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C92" w:rsidRPr="00B14C92" w:rsidRDefault="00B14C92" w:rsidP="00B14C92">
            <w:pPr>
              <w:spacing w:after="0" w:line="240" w:lineRule="auto"/>
              <w:ind w:hanging="108"/>
              <w:jc w:val="right"/>
              <w:rPr>
                <w:rFonts w:ascii="Century Gothic" w:eastAsia="Times New Roman" w:hAnsi="Century Gothic" w:cs="Calibri"/>
                <w:color w:val="000000"/>
                <w:lang w:eastAsia="ru-RU"/>
              </w:rPr>
            </w:pPr>
            <w:r w:rsidRPr="00B14C92">
              <w:rPr>
                <w:rFonts w:ascii="Century Gothic" w:eastAsia="Times New Roman" w:hAnsi="Century Gothic" w:cs="Calibri"/>
                <w:color w:val="000000"/>
                <w:lang w:eastAsia="ru-RU"/>
              </w:rPr>
              <w:t>Таблица 1</w:t>
            </w:r>
          </w:p>
        </w:tc>
      </w:tr>
      <w:tr w:rsidR="00B14C92" w:rsidRPr="00B14C92" w:rsidTr="00F973E5">
        <w:trPr>
          <w:trHeight w:val="20"/>
        </w:trPr>
        <w:tc>
          <w:tcPr>
            <w:tcW w:w="10182" w:type="dxa"/>
            <w:gridSpan w:val="7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B14C92" w:rsidRPr="00B14C92" w:rsidRDefault="00B14C92" w:rsidP="00311ABB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14C92">
              <w:rPr>
                <w:rFonts w:ascii="Century Gothic" w:eastAsia="Times New Roman" w:hAnsi="Century Gothic" w:cs="Calibri"/>
                <w:b/>
                <w:bCs/>
                <w:color w:val="000000"/>
                <w:sz w:val="26"/>
                <w:szCs w:val="26"/>
                <w:lang w:eastAsia="ru-RU"/>
              </w:rPr>
              <w:t xml:space="preserve">Перечень программ, </w:t>
            </w:r>
            <w:r w:rsidR="00311ABB">
              <w:rPr>
                <w:rFonts w:ascii="Century Gothic" w:eastAsia="Times New Roman" w:hAnsi="Century Gothic" w:cs="Calibri"/>
                <w:b/>
                <w:bCs/>
                <w:color w:val="000000"/>
                <w:sz w:val="26"/>
                <w:szCs w:val="26"/>
                <w:lang w:eastAsia="ru-RU"/>
              </w:rPr>
              <w:t>реализация</w:t>
            </w:r>
            <w:r w:rsidRPr="00B14C92">
              <w:rPr>
                <w:rFonts w:ascii="Century Gothic" w:eastAsia="Times New Roman" w:hAnsi="Century Gothic" w:cs="Calibri"/>
                <w:b/>
                <w:bCs/>
                <w:color w:val="000000"/>
                <w:sz w:val="26"/>
                <w:szCs w:val="26"/>
                <w:lang w:eastAsia="ru-RU"/>
              </w:rPr>
              <w:t xml:space="preserve"> которых осуществля</w:t>
            </w:r>
            <w:r w:rsidR="00367DDC">
              <w:rPr>
                <w:rFonts w:ascii="Century Gothic" w:eastAsia="Times New Roman" w:hAnsi="Century Gothic" w:cs="Calibri"/>
                <w:b/>
                <w:bCs/>
                <w:color w:val="000000"/>
                <w:sz w:val="26"/>
                <w:szCs w:val="26"/>
                <w:lang w:eastAsia="ru-RU"/>
              </w:rPr>
              <w:t>л</w:t>
            </w:r>
            <w:r w:rsidR="00311ABB">
              <w:rPr>
                <w:rFonts w:ascii="Century Gothic" w:eastAsia="Times New Roman" w:hAnsi="Century Gothic" w:cs="Calibri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="00367DDC">
              <w:rPr>
                <w:rFonts w:ascii="Century Gothic" w:eastAsia="Times New Roman" w:hAnsi="Century Gothic" w:cs="Calibri"/>
                <w:b/>
                <w:bCs/>
                <w:color w:val="000000"/>
                <w:sz w:val="26"/>
                <w:szCs w:val="26"/>
                <w:lang w:eastAsia="ru-RU"/>
              </w:rPr>
              <w:t>сь</w:t>
            </w:r>
            <w:r w:rsidRPr="00B14C92">
              <w:rPr>
                <w:rFonts w:ascii="Century Gothic" w:eastAsia="Times New Roman" w:hAnsi="Century Gothic" w:cs="Calibri"/>
                <w:b/>
                <w:bCs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367DDC">
              <w:rPr>
                <w:rFonts w:ascii="Century Gothic" w:eastAsia="Times New Roman" w:hAnsi="Century Gothic" w:cs="Calibri"/>
                <w:b/>
                <w:bCs/>
                <w:color w:val="000000"/>
                <w:sz w:val="26"/>
                <w:szCs w:val="26"/>
                <w:lang w:eastAsia="ru-RU"/>
              </w:rPr>
              <w:t>при</w:t>
            </w:r>
            <w:r w:rsidRPr="00B14C92">
              <w:rPr>
                <w:rFonts w:ascii="Century Gothic" w:eastAsia="Times New Roman" w:hAnsi="Century Gothic" w:cs="Calibri"/>
                <w:b/>
                <w:bCs/>
                <w:color w:val="000000"/>
                <w:sz w:val="26"/>
                <w:szCs w:val="26"/>
                <w:lang w:eastAsia="ru-RU"/>
              </w:rPr>
              <w:t xml:space="preserve"> софинансировани</w:t>
            </w:r>
            <w:r w:rsidR="00367DDC">
              <w:rPr>
                <w:rFonts w:ascii="Century Gothic" w:eastAsia="Times New Roman" w:hAnsi="Century Gothic" w:cs="Calibri"/>
                <w:b/>
                <w:bCs/>
                <w:color w:val="000000"/>
                <w:sz w:val="26"/>
                <w:szCs w:val="26"/>
                <w:lang w:eastAsia="ru-RU"/>
              </w:rPr>
              <w:t>и</w:t>
            </w:r>
            <w:r w:rsidRPr="00B14C92">
              <w:rPr>
                <w:rFonts w:ascii="Century Gothic" w:eastAsia="Times New Roman" w:hAnsi="Century Gothic" w:cs="Calibri"/>
                <w:b/>
                <w:bCs/>
                <w:color w:val="000000"/>
                <w:sz w:val="26"/>
                <w:szCs w:val="26"/>
                <w:lang w:eastAsia="ru-RU"/>
              </w:rPr>
              <w:t xml:space="preserve"> средств вышестоящих бюджетов</w:t>
            </w:r>
            <w:r w:rsidR="00367DDC">
              <w:rPr>
                <w:rFonts w:ascii="Century Gothic" w:eastAsia="Times New Roman" w:hAnsi="Century Gothic" w:cs="Calibri"/>
                <w:b/>
                <w:bCs/>
                <w:color w:val="000000"/>
                <w:sz w:val="26"/>
                <w:szCs w:val="26"/>
                <w:lang w:eastAsia="ru-RU"/>
              </w:rPr>
              <w:t xml:space="preserve"> и других источников </w:t>
            </w:r>
            <w:r w:rsidRPr="00B14C92">
              <w:rPr>
                <w:rFonts w:ascii="Century Gothic" w:eastAsia="Times New Roman" w:hAnsi="Century Gothic" w:cs="Calibri"/>
                <w:b/>
                <w:bCs/>
                <w:color w:val="000000"/>
                <w:sz w:val="26"/>
                <w:szCs w:val="26"/>
                <w:lang w:eastAsia="ru-RU"/>
              </w:rPr>
              <w:t xml:space="preserve"> (по данным департаментов</w:t>
            </w:r>
            <w:r w:rsidR="00367DDC">
              <w:rPr>
                <w:rFonts w:ascii="Century Gothic" w:eastAsia="Times New Roman" w:hAnsi="Century Gothic" w:cs="Calibri"/>
                <w:b/>
                <w:bCs/>
                <w:color w:val="000000"/>
                <w:sz w:val="26"/>
                <w:szCs w:val="26"/>
                <w:lang w:eastAsia="ru-RU"/>
              </w:rPr>
              <w:t>-исполнителей</w:t>
            </w:r>
            <w:r w:rsidRPr="00B14C92">
              <w:rPr>
                <w:rFonts w:ascii="Century Gothic" w:eastAsia="Times New Roman" w:hAnsi="Century Gothic" w:cs="Calibri"/>
                <w:b/>
                <w:bCs/>
                <w:color w:val="000000"/>
                <w:sz w:val="26"/>
                <w:szCs w:val="26"/>
                <w:lang w:eastAsia="ru-RU"/>
              </w:rPr>
              <w:t>)</w:t>
            </w:r>
            <w:r w:rsidR="00311ABB">
              <w:rPr>
                <w:rFonts w:ascii="Century Gothic" w:eastAsia="Times New Roman" w:hAnsi="Century Gothic" w:cs="Calibri"/>
                <w:b/>
                <w:bCs/>
                <w:color w:val="000000"/>
                <w:sz w:val="26"/>
                <w:szCs w:val="26"/>
                <w:lang w:eastAsia="ru-RU"/>
              </w:rPr>
              <w:t>, млн</w:t>
            </w:r>
            <w:proofErr w:type="gramStart"/>
            <w:r w:rsidR="00311ABB">
              <w:rPr>
                <w:rFonts w:ascii="Century Gothic" w:eastAsia="Times New Roman" w:hAnsi="Century Gothic" w:cs="Calibri"/>
                <w:b/>
                <w:bCs/>
                <w:color w:val="000000"/>
                <w:sz w:val="26"/>
                <w:szCs w:val="26"/>
                <w:lang w:eastAsia="ru-RU"/>
              </w:rPr>
              <w:t>.р</w:t>
            </w:r>
            <w:proofErr w:type="gramEnd"/>
            <w:r w:rsidR="00311ABB">
              <w:rPr>
                <w:rFonts w:ascii="Century Gothic" w:eastAsia="Times New Roman" w:hAnsi="Century Gothic" w:cs="Calibri"/>
                <w:b/>
                <w:bCs/>
                <w:color w:val="000000"/>
                <w:sz w:val="26"/>
                <w:szCs w:val="26"/>
                <w:lang w:eastAsia="ru-RU"/>
              </w:rPr>
              <w:t>уб.</w:t>
            </w:r>
          </w:p>
        </w:tc>
      </w:tr>
      <w:tr w:rsidR="00B14C92" w:rsidRPr="00B14C92" w:rsidTr="00F973E5">
        <w:trPr>
          <w:trHeight w:val="20"/>
        </w:trPr>
        <w:tc>
          <w:tcPr>
            <w:tcW w:w="5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C92" w:rsidRPr="00B14C92" w:rsidRDefault="00B14C92" w:rsidP="00E176FF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8"/>
                <w:szCs w:val="28"/>
                <w:lang w:eastAsia="ru-RU"/>
              </w:rPr>
            </w:pPr>
            <w:r w:rsidRPr="00B14C92">
              <w:rPr>
                <w:rFonts w:ascii="Century Gothic" w:eastAsia="Times New Roman" w:hAnsi="Century Gothic" w:cs="Calibri"/>
                <w:color w:val="000000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B14C92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B14C92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245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C92" w:rsidRPr="00B14C92" w:rsidRDefault="00B14C92" w:rsidP="00E176FF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8"/>
                <w:szCs w:val="28"/>
                <w:lang w:eastAsia="ru-RU"/>
              </w:rPr>
            </w:pPr>
            <w:r w:rsidRPr="00B14C92">
              <w:rPr>
                <w:rFonts w:ascii="Century Gothic" w:eastAsia="Times New Roman" w:hAnsi="Century Gothic" w:cs="Calibri"/>
                <w:color w:val="000000"/>
                <w:sz w:val="28"/>
                <w:szCs w:val="28"/>
                <w:lang w:eastAsia="ru-RU"/>
              </w:rPr>
              <w:t xml:space="preserve">Наименование </w:t>
            </w:r>
            <w:r w:rsidR="002406F0">
              <w:rPr>
                <w:rFonts w:ascii="Century Gothic" w:eastAsia="Times New Roman" w:hAnsi="Century Gothic" w:cs="Calibri"/>
                <w:color w:val="000000"/>
                <w:sz w:val="28"/>
                <w:szCs w:val="28"/>
                <w:lang w:eastAsia="ru-RU"/>
              </w:rPr>
              <w:t>М</w:t>
            </w:r>
            <w:r w:rsidRPr="00B14C92">
              <w:rPr>
                <w:rFonts w:ascii="Century Gothic" w:eastAsia="Times New Roman" w:hAnsi="Century Gothic" w:cs="Calibri"/>
                <w:color w:val="000000"/>
                <w:sz w:val="28"/>
                <w:szCs w:val="28"/>
                <w:lang w:eastAsia="ru-RU"/>
              </w:rPr>
              <w:t>П</w:t>
            </w:r>
            <w:r w:rsidR="002406F0">
              <w:rPr>
                <w:rFonts w:ascii="Century Gothic" w:eastAsia="Times New Roman" w:hAnsi="Century Gothic" w:cs="Calibri"/>
                <w:color w:val="000000"/>
                <w:sz w:val="28"/>
                <w:szCs w:val="28"/>
                <w:lang w:eastAsia="ru-RU"/>
              </w:rPr>
              <w:t>, ВЦП</w:t>
            </w:r>
          </w:p>
        </w:tc>
        <w:tc>
          <w:tcPr>
            <w:tcW w:w="435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14C92" w:rsidRPr="00B14C92" w:rsidRDefault="00B14C92" w:rsidP="0075344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8"/>
                <w:szCs w:val="28"/>
                <w:lang w:eastAsia="ru-RU"/>
              </w:rPr>
            </w:pPr>
            <w:r w:rsidRPr="00B14C92">
              <w:rPr>
                <w:rFonts w:ascii="Century Gothic" w:eastAsia="Times New Roman" w:hAnsi="Century Gothic" w:cs="Calibri"/>
                <w:color w:val="000000"/>
                <w:sz w:val="28"/>
                <w:szCs w:val="28"/>
                <w:lang w:eastAsia="ru-RU"/>
              </w:rPr>
              <w:t>Поступление средств в 201</w:t>
            </w:r>
            <w:r w:rsidR="00753442">
              <w:rPr>
                <w:rFonts w:ascii="Century Gothic" w:eastAsia="Times New Roman" w:hAnsi="Century Gothic" w:cs="Calibri"/>
                <w:color w:val="000000"/>
                <w:sz w:val="28"/>
                <w:szCs w:val="28"/>
                <w:lang w:eastAsia="ru-RU"/>
              </w:rPr>
              <w:t>8</w:t>
            </w:r>
            <w:r w:rsidRPr="00B14C92">
              <w:rPr>
                <w:rFonts w:ascii="Century Gothic" w:eastAsia="Times New Roman" w:hAnsi="Century Gothic" w:cs="Calibri"/>
                <w:color w:val="000000"/>
                <w:sz w:val="28"/>
                <w:szCs w:val="28"/>
                <w:lang w:eastAsia="ru-RU"/>
              </w:rPr>
              <w:t>г.</w:t>
            </w:r>
          </w:p>
        </w:tc>
      </w:tr>
      <w:tr w:rsidR="00B14C92" w:rsidRPr="00B14C92" w:rsidTr="00F973E5">
        <w:trPr>
          <w:trHeight w:val="20"/>
        </w:trPr>
        <w:tc>
          <w:tcPr>
            <w:tcW w:w="5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14C92" w:rsidRPr="00B14C92" w:rsidRDefault="00B14C92" w:rsidP="00B14C92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14C92" w:rsidRPr="00B14C92" w:rsidRDefault="00B14C92" w:rsidP="00B14C92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C92" w:rsidRPr="00311ABB" w:rsidRDefault="00B14C92" w:rsidP="00E176FF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4"/>
                <w:szCs w:val="24"/>
                <w:lang w:eastAsia="ru-RU"/>
              </w:rPr>
            </w:pPr>
            <w:r w:rsidRPr="00311ABB">
              <w:rPr>
                <w:rFonts w:ascii="Century Gothic" w:eastAsia="Times New Roman" w:hAnsi="Century Gothic" w:cs="Calibri"/>
                <w:color w:val="000000"/>
                <w:sz w:val="24"/>
                <w:szCs w:val="24"/>
                <w:lang w:eastAsia="ru-RU"/>
              </w:rPr>
              <w:t>ГБ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C92" w:rsidRPr="00311ABB" w:rsidRDefault="00B14C92" w:rsidP="00E176FF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4"/>
                <w:szCs w:val="24"/>
                <w:lang w:eastAsia="ru-RU"/>
              </w:rPr>
            </w:pPr>
            <w:r w:rsidRPr="00311ABB">
              <w:rPr>
                <w:rFonts w:ascii="Century Gothic" w:eastAsia="Times New Roman" w:hAnsi="Century Gothic" w:cs="Calibri"/>
                <w:color w:val="000000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C92" w:rsidRPr="00311ABB" w:rsidRDefault="00B14C92" w:rsidP="00E176FF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4"/>
                <w:szCs w:val="24"/>
                <w:lang w:eastAsia="ru-RU"/>
              </w:rPr>
            </w:pPr>
            <w:r w:rsidRPr="00311ABB">
              <w:rPr>
                <w:rFonts w:ascii="Century Gothic" w:eastAsia="Times New Roman" w:hAnsi="Century Gothic" w:cs="Calibri"/>
                <w:color w:val="000000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0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4C92" w:rsidRPr="00311ABB" w:rsidRDefault="00B14C92" w:rsidP="00B14C9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4"/>
                <w:szCs w:val="24"/>
                <w:lang w:eastAsia="ru-RU"/>
              </w:rPr>
            </w:pPr>
            <w:r w:rsidRPr="00311ABB">
              <w:rPr>
                <w:rFonts w:ascii="Century Gothic" w:eastAsia="Times New Roman" w:hAnsi="Century Gothic" w:cs="Calibri"/>
                <w:color w:val="000000"/>
                <w:sz w:val="24"/>
                <w:szCs w:val="24"/>
                <w:lang w:eastAsia="ru-RU"/>
              </w:rPr>
              <w:t xml:space="preserve">Др. </w:t>
            </w:r>
          </w:p>
          <w:p w:rsidR="00B14C92" w:rsidRPr="00311ABB" w:rsidRDefault="00B14C92" w:rsidP="00B14C9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4"/>
                <w:szCs w:val="24"/>
                <w:lang w:eastAsia="ru-RU"/>
              </w:rPr>
            </w:pPr>
            <w:r w:rsidRPr="00311ABB">
              <w:rPr>
                <w:rFonts w:ascii="Century Gothic" w:eastAsia="Times New Roman" w:hAnsi="Century Gothic" w:cs="Calibri"/>
                <w:color w:val="000000"/>
                <w:sz w:val="24"/>
                <w:szCs w:val="24"/>
                <w:lang w:eastAsia="ru-RU"/>
              </w:rPr>
              <w:t>ср-ва</w:t>
            </w:r>
          </w:p>
        </w:tc>
      </w:tr>
      <w:tr w:rsidR="00B14C92" w:rsidRPr="00B14C92" w:rsidTr="00F973E5">
        <w:trPr>
          <w:trHeight w:val="20"/>
        </w:trPr>
        <w:tc>
          <w:tcPr>
            <w:tcW w:w="5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C92" w:rsidRPr="00B14C92" w:rsidRDefault="00B14C92" w:rsidP="00B14C9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4"/>
                <w:szCs w:val="24"/>
                <w:lang w:eastAsia="ru-RU"/>
              </w:rPr>
            </w:pPr>
            <w:r w:rsidRPr="00B14C92">
              <w:rPr>
                <w:rFonts w:ascii="Century Gothic" w:eastAsia="Times New Roman" w:hAnsi="Century Gothic"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C92" w:rsidRPr="008604CE" w:rsidRDefault="00B14C92" w:rsidP="00EF2770">
            <w:pPr>
              <w:spacing w:after="0" w:line="240" w:lineRule="auto"/>
              <w:rPr>
                <w:rFonts w:ascii="Century Gothic" w:eastAsia="Times New Roman" w:hAnsi="Century Gothic" w:cs="Calibri"/>
                <w:lang w:eastAsia="ru-RU"/>
              </w:rPr>
            </w:pPr>
            <w:r w:rsidRPr="008604CE">
              <w:rPr>
                <w:rFonts w:ascii="Century Gothic" w:eastAsia="Times New Roman" w:hAnsi="Century Gothic" w:cs="Calibri"/>
                <w:lang w:eastAsia="ru-RU"/>
              </w:rPr>
              <w:t>МП «Развитие общего образования в городском округе город Рыбинск»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C92" w:rsidRPr="008604CE" w:rsidRDefault="00753442" w:rsidP="007411F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601,7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C92" w:rsidRPr="008604CE" w:rsidRDefault="00753442" w:rsidP="007411F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2,28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C92" w:rsidRPr="008604CE" w:rsidRDefault="00753442" w:rsidP="007411F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1808,66</w:t>
            </w:r>
          </w:p>
        </w:tc>
        <w:tc>
          <w:tcPr>
            <w:tcW w:w="10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4C92" w:rsidRPr="008604CE" w:rsidRDefault="00B14C92" w:rsidP="00B14C9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 w:rsidRPr="008604CE"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0,00</w:t>
            </w:r>
          </w:p>
        </w:tc>
      </w:tr>
      <w:tr w:rsidR="00B14C92" w:rsidRPr="00B14C92" w:rsidTr="00F973E5">
        <w:trPr>
          <w:trHeight w:val="20"/>
        </w:trPr>
        <w:tc>
          <w:tcPr>
            <w:tcW w:w="5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C92" w:rsidRPr="00B14C92" w:rsidRDefault="00B14C92" w:rsidP="00B14C9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4"/>
                <w:szCs w:val="24"/>
                <w:lang w:eastAsia="ru-RU"/>
              </w:rPr>
            </w:pPr>
            <w:r w:rsidRPr="00B14C92">
              <w:rPr>
                <w:rFonts w:ascii="Century Gothic" w:eastAsia="Times New Roman" w:hAnsi="Century Gothic"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4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C92" w:rsidRPr="008604CE" w:rsidRDefault="00B14C92" w:rsidP="003A09BE">
            <w:pPr>
              <w:spacing w:after="0" w:line="240" w:lineRule="auto"/>
              <w:ind w:right="-250"/>
              <w:rPr>
                <w:rFonts w:ascii="Century Gothic" w:eastAsia="Times New Roman" w:hAnsi="Century Gothic" w:cs="Calibri"/>
                <w:lang w:eastAsia="ru-RU"/>
              </w:rPr>
            </w:pPr>
            <w:r w:rsidRPr="008604CE">
              <w:rPr>
                <w:rFonts w:ascii="Century Gothic" w:eastAsia="Times New Roman" w:hAnsi="Century Gothic" w:cs="Calibri"/>
                <w:lang w:eastAsia="ru-RU"/>
              </w:rPr>
              <w:t>МП "Развитие физической культуры и спорта в городском округе город Рыбинск "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C92" w:rsidRPr="008604CE" w:rsidRDefault="00753442" w:rsidP="00E61A96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263,8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C92" w:rsidRPr="008604CE" w:rsidRDefault="004A7107" w:rsidP="0075344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43,86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C92" w:rsidRPr="008604CE" w:rsidRDefault="004A7107" w:rsidP="00D44657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47,57</w:t>
            </w:r>
          </w:p>
        </w:tc>
        <w:tc>
          <w:tcPr>
            <w:tcW w:w="10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4C92" w:rsidRPr="008604CE" w:rsidRDefault="00B14C92" w:rsidP="00B14C9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 w:rsidRPr="008604CE"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0,00</w:t>
            </w:r>
          </w:p>
        </w:tc>
      </w:tr>
      <w:tr w:rsidR="00B14C92" w:rsidRPr="00B14C92" w:rsidTr="00F973E5">
        <w:trPr>
          <w:trHeight w:val="20"/>
        </w:trPr>
        <w:tc>
          <w:tcPr>
            <w:tcW w:w="5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C92" w:rsidRPr="00B14C92" w:rsidRDefault="00B14C92" w:rsidP="00B14C9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4"/>
                <w:szCs w:val="24"/>
                <w:lang w:eastAsia="ru-RU"/>
              </w:rPr>
            </w:pPr>
            <w:r w:rsidRPr="00B14C92">
              <w:rPr>
                <w:rFonts w:ascii="Century Gothic" w:eastAsia="Times New Roman" w:hAnsi="Century Gothic" w:cs="Calibri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4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C92" w:rsidRPr="008604CE" w:rsidRDefault="00B14C92" w:rsidP="00EF2770">
            <w:pPr>
              <w:spacing w:after="0" w:line="240" w:lineRule="auto"/>
              <w:rPr>
                <w:rFonts w:ascii="Century Gothic" w:eastAsia="Times New Roman" w:hAnsi="Century Gothic" w:cs="Calibri"/>
                <w:lang w:eastAsia="ru-RU"/>
              </w:rPr>
            </w:pPr>
            <w:r w:rsidRPr="008604CE">
              <w:rPr>
                <w:rFonts w:ascii="Century Gothic" w:eastAsia="Times New Roman" w:hAnsi="Century Gothic" w:cs="Calibri"/>
                <w:lang w:eastAsia="ru-RU"/>
              </w:rPr>
              <w:t>МП "</w:t>
            </w:r>
            <w:r w:rsidR="00E61A96" w:rsidRPr="008604CE">
              <w:rPr>
                <w:rFonts w:ascii="Century Gothic" w:eastAsia="Times New Roman" w:hAnsi="Century Gothic" w:cs="Calibri"/>
                <w:lang w:eastAsia="ru-RU"/>
              </w:rPr>
              <w:t>Реализация м</w:t>
            </w:r>
            <w:r w:rsidRPr="008604CE">
              <w:rPr>
                <w:rFonts w:ascii="Century Gothic" w:eastAsia="Times New Roman" w:hAnsi="Century Gothic" w:cs="Calibri"/>
                <w:lang w:eastAsia="ru-RU"/>
              </w:rPr>
              <w:t>олодежн</w:t>
            </w:r>
            <w:r w:rsidR="00E61A96" w:rsidRPr="008604CE">
              <w:rPr>
                <w:rFonts w:ascii="Century Gothic" w:eastAsia="Times New Roman" w:hAnsi="Century Gothic" w:cs="Calibri"/>
                <w:lang w:eastAsia="ru-RU"/>
              </w:rPr>
              <w:t>ой</w:t>
            </w:r>
            <w:r w:rsidRPr="008604CE">
              <w:rPr>
                <w:rFonts w:ascii="Century Gothic" w:eastAsia="Times New Roman" w:hAnsi="Century Gothic" w:cs="Calibri"/>
                <w:lang w:eastAsia="ru-RU"/>
              </w:rPr>
              <w:t xml:space="preserve"> политик</w:t>
            </w:r>
            <w:r w:rsidR="00E61A96" w:rsidRPr="008604CE">
              <w:rPr>
                <w:rFonts w:ascii="Century Gothic" w:eastAsia="Times New Roman" w:hAnsi="Century Gothic" w:cs="Calibri"/>
                <w:lang w:eastAsia="ru-RU"/>
              </w:rPr>
              <w:t>и</w:t>
            </w:r>
            <w:r w:rsidRPr="008604CE">
              <w:rPr>
                <w:rFonts w:ascii="Century Gothic" w:eastAsia="Times New Roman" w:hAnsi="Century Gothic" w:cs="Calibri"/>
                <w:lang w:eastAsia="ru-RU"/>
              </w:rPr>
              <w:t xml:space="preserve"> в городском округе город Рыбинск"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C92" w:rsidRPr="008604CE" w:rsidRDefault="004A7107" w:rsidP="0004017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20,92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C92" w:rsidRPr="008604CE" w:rsidRDefault="004A7107" w:rsidP="0004017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C92" w:rsidRPr="008604CE" w:rsidRDefault="004A7107" w:rsidP="0004017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10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4C92" w:rsidRPr="008604CE" w:rsidRDefault="004A7107" w:rsidP="0004017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36,48</w:t>
            </w:r>
          </w:p>
        </w:tc>
      </w:tr>
      <w:tr w:rsidR="004A7107" w:rsidRPr="00B14C92" w:rsidTr="00F973E5">
        <w:trPr>
          <w:trHeight w:val="20"/>
        </w:trPr>
        <w:tc>
          <w:tcPr>
            <w:tcW w:w="5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Pr="00B14C92" w:rsidRDefault="004A7107" w:rsidP="00B14C9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4"/>
                <w:szCs w:val="24"/>
                <w:lang w:eastAsia="ru-RU"/>
              </w:rPr>
            </w:pPr>
            <w:r w:rsidRPr="00B14C92">
              <w:rPr>
                <w:rFonts w:ascii="Century Gothic" w:eastAsia="Times New Roman" w:hAnsi="Century Gothic" w:cs="Calibri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4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Pr="008604CE" w:rsidRDefault="004A7107" w:rsidP="00441160">
            <w:pPr>
              <w:spacing w:after="0" w:line="240" w:lineRule="auto"/>
              <w:rPr>
                <w:rFonts w:ascii="Century Gothic" w:eastAsia="Times New Roman" w:hAnsi="Century Gothic" w:cs="Calibri"/>
                <w:lang w:eastAsia="ru-RU"/>
              </w:rPr>
            </w:pPr>
            <w:r w:rsidRPr="008604CE">
              <w:rPr>
                <w:rFonts w:ascii="Century Gothic" w:eastAsia="Times New Roman" w:hAnsi="Century Gothic" w:cs="Calibri"/>
                <w:lang w:eastAsia="ru-RU"/>
              </w:rPr>
              <w:t>МП "Развитие культуры  в городском округе город Рыбинск"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Pr="008604CE" w:rsidRDefault="004A7107" w:rsidP="004A7107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 w:rsidRPr="008604CE"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2</w:t>
            </w:r>
            <w:r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09,34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Pr="008604CE" w:rsidRDefault="004A7107" w:rsidP="00441160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7,9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Pr="008604CE" w:rsidRDefault="004A7107" w:rsidP="00441160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46,36</w:t>
            </w:r>
          </w:p>
        </w:tc>
        <w:tc>
          <w:tcPr>
            <w:tcW w:w="10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7107" w:rsidRPr="008604CE" w:rsidRDefault="004A7107" w:rsidP="00441160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22,24</w:t>
            </w:r>
          </w:p>
        </w:tc>
      </w:tr>
      <w:tr w:rsidR="004A7107" w:rsidRPr="00B14C92" w:rsidTr="00F973E5">
        <w:trPr>
          <w:trHeight w:val="20"/>
        </w:trPr>
        <w:tc>
          <w:tcPr>
            <w:tcW w:w="5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Pr="00B14C92" w:rsidRDefault="004A7107" w:rsidP="00B14C9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4"/>
                <w:szCs w:val="24"/>
                <w:lang w:eastAsia="ru-RU"/>
              </w:rPr>
            </w:pPr>
            <w:r w:rsidRPr="00B14C92">
              <w:rPr>
                <w:rFonts w:ascii="Century Gothic" w:eastAsia="Times New Roman" w:hAnsi="Century Gothic" w:cs="Calibri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24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Pr="008604CE" w:rsidRDefault="004A7107" w:rsidP="00EF2770">
            <w:pPr>
              <w:spacing w:after="0" w:line="240" w:lineRule="auto"/>
              <w:rPr>
                <w:rFonts w:ascii="Century Gothic" w:eastAsia="Times New Roman" w:hAnsi="Century Gothic" w:cs="Calibri"/>
                <w:lang w:eastAsia="ru-RU"/>
              </w:rPr>
            </w:pPr>
            <w:r w:rsidRPr="008604CE">
              <w:rPr>
                <w:rFonts w:ascii="Century Gothic" w:eastAsia="Times New Roman" w:hAnsi="Century Gothic" w:cs="Calibri"/>
                <w:lang w:eastAsia="ru-RU"/>
              </w:rPr>
              <w:t xml:space="preserve">ВЦП «Социальная поддержка населения  городского округа город Рыбинск» 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Pr="008604CE" w:rsidRDefault="004A7107" w:rsidP="00B835CC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12,99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Pr="008604CE" w:rsidRDefault="004A7107" w:rsidP="00B835CC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236,18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Pr="008604CE" w:rsidRDefault="004A7107" w:rsidP="00B835CC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890,41</w:t>
            </w:r>
          </w:p>
        </w:tc>
        <w:tc>
          <w:tcPr>
            <w:tcW w:w="10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7107" w:rsidRPr="008604CE" w:rsidRDefault="004A7107" w:rsidP="00B14C9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 w:rsidRPr="008604CE"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0,00</w:t>
            </w:r>
          </w:p>
        </w:tc>
      </w:tr>
      <w:tr w:rsidR="004A7107" w:rsidRPr="00B14C92" w:rsidTr="00F973E5">
        <w:trPr>
          <w:trHeight w:val="20"/>
        </w:trPr>
        <w:tc>
          <w:tcPr>
            <w:tcW w:w="5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Pr="00B14C92" w:rsidRDefault="004A7107" w:rsidP="00B14C9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4"/>
                <w:szCs w:val="24"/>
                <w:lang w:eastAsia="ru-RU"/>
              </w:rPr>
            </w:pPr>
            <w:r w:rsidRPr="00B14C92">
              <w:rPr>
                <w:rFonts w:ascii="Century Gothic" w:eastAsia="Times New Roman" w:hAnsi="Century Gothic" w:cs="Calibri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24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Pr="008604CE" w:rsidRDefault="004A7107" w:rsidP="00EF2770">
            <w:pPr>
              <w:spacing w:after="0" w:line="240" w:lineRule="auto"/>
              <w:rPr>
                <w:rFonts w:ascii="Century Gothic" w:eastAsia="Times New Roman" w:hAnsi="Century Gothic" w:cs="Calibri"/>
                <w:lang w:eastAsia="ru-RU"/>
              </w:rPr>
            </w:pPr>
            <w:r w:rsidRPr="004A7107">
              <w:rPr>
                <w:rFonts w:ascii="Century Gothic" w:eastAsia="Times New Roman" w:hAnsi="Century Gothic" w:cs="Calibri"/>
                <w:lang w:eastAsia="ru-RU"/>
              </w:rPr>
              <w:t>МП "Формирование современной городской среды на территории городского округа город Рыбинск"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Pr="008604CE" w:rsidRDefault="004A7107" w:rsidP="00B835CC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3,29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Pr="008604CE" w:rsidRDefault="004A7107" w:rsidP="00B14C9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22,62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Pr="008604CE" w:rsidRDefault="004A7107" w:rsidP="00B835CC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25,61</w:t>
            </w:r>
          </w:p>
        </w:tc>
        <w:tc>
          <w:tcPr>
            <w:tcW w:w="10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7107" w:rsidRPr="008604CE" w:rsidRDefault="004A7107" w:rsidP="00B835CC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0,8</w:t>
            </w:r>
          </w:p>
        </w:tc>
      </w:tr>
      <w:tr w:rsidR="004A7107" w:rsidRPr="00B14C92" w:rsidTr="00F973E5">
        <w:trPr>
          <w:trHeight w:val="20"/>
        </w:trPr>
        <w:tc>
          <w:tcPr>
            <w:tcW w:w="5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Pr="00B14C92" w:rsidRDefault="004A7107" w:rsidP="00B14C9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4"/>
                <w:szCs w:val="24"/>
                <w:lang w:eastAsia="ru-RU"/>
              </w:rPr>
            </w:pPr>
            <w:r w:rsidRPr="00B14C92">
              <w:rPr>
                <w:rFonts w:ascii="Century Gothic" w:eastAsia="Times New Roman" w:hAnsi="Century Gothic" w:cs="Calibri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24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Pr="004A7107" w:rsidRDefault="004A7107" w:rsidP="00EF2770">
            <w:pPr>
              <w:spacing w:after="0" w:line="240" w:lineRule="auto"/>
              <w:rPr>
                <w:rFonts w:ascii="Century Gothic" w:eastAsia="Times New Roman" w:hAnsi="Century Gothic" w:cs="Calibri"/>
                <w:lang w:eastAsia="ru-RU"/>
              </w:rPr>
            </w:pPr>
            <w:r w:rsidRPr="004A7107">
              <w:rPr>
                <w:rFonts w:ascii="Century Gothic" w:eastAsia="Times New Roman" w:hAnsi="Century Gothic" w:cs="Calibri"/>
                <w:lang w:eastAsia="ru-RU"/>
              </w:rPr>
              <w:t>МП "Энергоэффективность в городском округе город Рыбинск"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Pr="008604CE" w:rsidRDefault="004A7107" w:rsidP="00441160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1,18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Pr="008604CE" w:rsidRDefault="004A7107" w:rsidP="00441160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Pr="008604CE" w:rsidRDefault="004A7107" w:rsidP="00441160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12,71</w:t>
            </w:r>
          </w:p>
        </w:tc>
        <w:tc>
          <w:tcPr>
            <w:tcW w:w="10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7107" w:rsidRPr="008604CE" w:rsidRDefault="004A7107" w:rsidP="00DB40A9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21,05</w:t>
            </w:r>
          </w:p>
        </w:tc>
      </w:tr>
      <w:tr w:rsidR="004A7107" w:rsidRPr="00B14C92" w:rsidTr="00F973E5">
        <w:trPr>
          <w:trHeight w:val="20"/>
        </w:trPr>
        <w:tc>
          <w:tcPr>
            <w:tcW w:w="5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Pr="00B14C92" w:rsidRDefault="004A7107" w:rsidP="00B14C9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4"/>
                <w:szCs w:val="24"/>
                <w:lang w:eastAsia="ru-RU"/>
              </w:rPr>
            </w:pPr>
            <w:r w:rsidRPr="00B14C92">
              <w:rPr>
                <w:rFonts w:ascii="Century Gothic" w:eastAsia="Times New Roman" w:hAnsi="Century Gothic" w:cs="Calibri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24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Pr="009A20E2" w:rsidRDefault="004A7107" w:rsidP="00EF2770">
            <w:pPr>
              <w:spacing w:after="0" w:line="240" w:lineRule="auto"/>
              <w:rPr>
                <w:rFonts w:ascii="Century Gothic" w:eastAsia="Times New Roman" w:hAnsi="Century Gothic" w:cs="Calibri"/>
                <w:lang w:eastAsia="ru-RU"/>
              </w:rPr>
            </w:pPr>
            <w:r w:rsidRPr="009A20E2">
              <w:rPr>
                <w:rFonts w:ascii="Century Gothic" w:eastAsia="Times New Roman" w:hAnsi="Century Gothic" w:cs="Calibri"/>
                <w:lang w:eastAsia="ru-RU"/>
              </w:rPr>
              <w:t xml:space="preserve">ВЦП департамента ЖКХ, транспорта и связи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Pr="008604CE" w:rsidRDefault="004A7107" w:rsidP="00DB40A9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247,47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Pr="008604CE" w:rsidRDefault="004A7107" w:rsidP="00DB40A9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 w:rsidRPr="008604CE"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Pr="008604CE" w:rsidRDefault="004A7107" w:rsidP="00DB40A9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5,81</w:t>
            </w:r>
          </w:p>
        </w:tc>
        <w:tc>
          <w:tcPr>
            <w:tcW w:w="10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7107" w:rsidRPr="008604CE" w:rsidRDefault="004A7107" w:rsidP="00B14C9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 w:rsidRPr="008604CE"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0,00</w:t>
            </w:r>
          </w:p>
        </w:tc>
      </w:tr>
      <w:tr w:rsidR="004A7107" w:rsidRPr="00B14C92" w:rsidTr="00F973E5">
        <w:trPr>
          <w:trHeight w:val="20"/>
        </w:trPr>
        <w:tc>
          <w:tcPr>
            <w:tcW w:w="5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Pr="00B14C92" w:rsidRDefault="009A20E2" w:rsidP="00B14C9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24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Pr="004A7107" w:rsidRDefault="004A7107" w:rsidP="003A09BE">
            <w:pPr>
              <w:spacing w:after="0" w:line="240" w:lineRule="auto"/>
              <w:rPr>
                <w:rFonts w:ascii="Century Gothic" w:eastAsia="Times New Roman" w:hAnsi="Century Gothic" w:cs="Calibri"/>
                <w:lang w:eastAsia="ru-RU"/>
              </w:rPr>
            </w:pPr>
            <w:r w:rsidRPr="004A7107">
              <w:rPr>
                <w:rFonts w:ascii="Century Gothic" w:eastAsia="Times New Roman" w:hAnsi="Century Gothic" w:cs="Calibri"/>
                <w:lang w:eastAsia="ru-RU"/>
              </w:rPr>
              <w:t>МП "Развитие водохозяйственного комплекса городского округа город Рыбинск"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Default="004A7107" w:rsidP="003A09B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3,93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Default="004A7107" w:rsidP="00B14C9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1,52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Default="004A7107" w:rsidP="003A09B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1,17</w:t>
            </w:r>
          </w:p>
        </w:tc>
        <w:tc>
          <w:tcPr>
            <w:tcW w:w="10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7107" w:rsidRPr="008604CE" w:rsidRDefault="004A7107" w:rsidP="00B14C9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0,0</w:t>
            </w:r>
          </w:p>
        </w:tc>
      </w:tr>
      <w:tr w:rsidR="004A7107" w:rsidRPr="00B14C92" w:rsidTr="00F973E5">
        <w:trPr>
          <w:trHeight w:val="20"/>
        </w:trPr>
        <w:tc>
          <w:tcPr>
            <w:tcW w:w="5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Pr="00B14C92" w:rsidRDefault="009A20E2" w:rsidP="00B14C9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4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Pr="004A7107" w:rsidRDefault="004A7107" w:rsidP="003A09BE">
            <w:pPr>
              <w:spacing w:after="0" w:line="240" w:lineRule="auto"/>
              <w:rPr>
                <w:rFonts w:ascii="Century Gothic" w:eastAsia="Times New Roman" w:hAnsi="Century Gothic" w:cs="Calibri"/>
                <w:lang w:eastAsia="ru-RU"/>
              </w:rPr>
            </w:pPr>
            <w:r w:rsidRPr="004A7107">
              <w:rPr>
                <w:rFonts w:ascii="Century Gothic" w:eastAsia="Times New Roman" w:hAnsi="Century Gothic" w:cs="Calibri"/>
                <w:lang w:eastAsia="ru-RU"/>
              </w:rPr>
              <w:t>МП "Газификация индивидуального жилищного фонда городского округа город Рыбинск"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Pr="008604CE" w:rsidRDefault="004A7107" w:rsidP="003A09B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1,54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Pr="008604CE" w:rsidRDefault="004A7107" w:rsidP="00B14C9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Pr="008604CE" w:rsidRDefault="004A7107" w:rsidP="003A09B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1,72</w:t>
            </w:r>
          </w:p>
        </w:tc>
        <w:tc>
          <w:tcPr>
            <w:tcW w:w="10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7107" w:rsidRPr="008604CE" w:rsidRDefault="004A7107" w:rsidP="00B14C9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 w:rsidRPr="008604CE"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0,00</w:t>
            </w:r>
          </w:p>
        </w:tc>
      </w:tr>
      <w:tr w:rsidR="004A7107" w:rsidRPr="00B14C92" w:rsidTr="00F973E5">
        <w:trPr>
          <w:trHeight w:val="20"/>
        </w:trPr>
        <w:tc>
          <w:tcPr>
            <w:tcW w:w="5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Pr="00E176FF" w:rsidRDefault="004A7107" w:rsidP="00B14C9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 w:themeColor="text1"/>
                <w:sz w:val="24"/>
                <w:szCs w:val="24"/>
                <w:lang w:eastAsia="ru-RU"/>
              </w:rPr>
            </w:pPr>
            <w:r w:rsidRPr="00E176FF">
              <w:rPr>
                <w:rFonts w:ascii="Century Gothic" w:eastAsia="Times New Roman" w:hAnsi="Century Gothic" w:cs="Calibri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9A20E2">
              <w:rPr>
                <w:rFonts w:ascii="Century Gothic" w:eastAsia="Times New Roman" w:hAnsi="Century Gothic" w:cs="Calibri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Pr="00E176FF" w:rsidRDefault="004A7107" w:rsidP="00EF2770">
            <w:pPr>
              <w:spacing w:after="0" w:line="240" w:lineRule="auto"/>
              <w:rPr>
                <w:rFonts w:ascii="Century Gothic" w:eastAsia="Times New Roman" w:hAnsi="Century Gothic" w:cs="Calibri"/>
                <w:color w:val="000000" w:themeColor="text1"/>
                <w:lang w:eastAsia="ru-RU"/>
              </w:rPr>
            </w:pPr>
            <w:r w:rsidRPr="00E176FF">
              <w:rPr>
                <w:rFonts w:ascii="Century Gothic" w:eastAsia="Times New Roman" w:hAnsi="Century Gothic" w:cs="Calibri"/>
                <w:color w:val="000000" w:themeColor="text1"/>
                <w:lang w:eastAsia="ru-RU"/>
              </w:rPr>
              <w:t>МП "Развитие дорожного хозяйства  городского округа город Рыбинск"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Pr="00E176FF" w:rsidRDefault="004A7107" w:rsidP="00E50FB0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Century Gothic" w:eastAsia="Times New Roman" w:hAnsi="Century Gothic" w:cs="Calibri"/>
                <w:color w:val="000000" w:themeColor="text1"/>
                <w:sz w:val="24"/>
                <w:szCs w:val="24"/>
                <w:lang w:eastAsia="ru-RU"/>
              </w:rPr>
              <w:t>157,8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Pr="00E176FF" w:rsidRDefault="004A7107" w:rsidP="00B14C9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Century Gothic" w:eastAsia="Times New Roman" w:hAnsi="Century Gothic" w:cs="Calibri"/>
                <w:color w:val="000000" w:themeColor="text1"/>
                <w:sz w:val="24"/>
                <w:szCs w:val="24"/>
                <w:lang w:eastAsia="ru-RU"/>
              </w:rPr>
              <w:t>120,97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Pr="00E176FF" w:rsidRDefault="004A7107" w:rsidP="00E50FB0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Century Gothic" w:eastAsia="Times New Roman" w:hAnsi="Century Gothic" w:cs="Calibri"/>
                <w:color w:val="000000" w:themeColor="text1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0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7107" w:rsidRPr="00E176FF" w:rsidRDefault="004A7107" w:rsidP="00B14C9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Century Gothic" w:eastAsia="Times New Roman" w:hAnsi="Century Gothic" w:cs="Calibri"/>
                <w:color w:val="000000" w:themeColor="text1"/>
                <w:sz w:val="24"/>
                <w:szCs w:val="24"/>
                <w:lang w:eastAsia="ru-RU"/>
              </w:rPr>
              <w:t>8,99</w:t>
            </w:r>
          </w:p>
        </w:tc>
      </w:tr>
      <w:tr w:rsidR="004A7107" w:rsidRPr="00B14C92" w:rsidTr="00F973E5">
        <w:trPr>
          <w:trHeight w:val="20"/>
        </w:trPr>
        <w:tc>
          <w:tcPr>
            <w:tcW w:w="5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Pr="00E176FF" w:rsidRDefault="009A20E2" w:rsidP="00B14C9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Century Gothic" w:eastAsia="Times New Roman" w:hAnsi="Century Gothic" w:cs="Calibri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24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Pr="00E176FF" w:rsidRDefault="004A7107" w:rsidP="00EF2770">
            <w:pPr>
              <w:spacing w:after="0" w:line="240" w:lineRule="auto"/>
              <w:rPr>
                <w:rFonts w:ascii="Century Gothic" w:eastAsia="Times New Roman" w:hAnsi="Century Gothic" w:cs="Calibri"/>
                <w:color w:val="000000" w:themeColor="text1"/>
                <w:lang w:eastAsia="ru-RU"/>
              </w:rPr>
            </w:pPr>
            <w:r w:rsidRPr="004A7107">
              <w:rPr>
                <w:rFonts w:ascii="Century Gothic" w:eastAsia="Times New Roman" w:hAnsi="Century Gothic" w:cs="Calibri"/>
                <w:color w:val="000000" w:themeColor="text1"/>
                <w:lang w:eastAsia="ru-RU"/>
              </w:rPr>
              <w:t>ВЦП Управления строительства Администрации городского округа город Рыбинск"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Pr="00E176FF" w:rsidRDefault="004A7107" w:rsidP="00EF2770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Century Gothic" w:eastAsia="Times New Roman" w:hAnsi="Century Gothic" w:cs="Calibri"/>
                <w:color w:val="000000" w:themeColor="text1"/>
                <w:sz w:val="24"/>
                <w:szCs w:val="24"/>
                <w:lang w:eastAsia="ru-RU"/>
              </w:rPr>
              <w:t>60,43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Pr="00E176FF" w:rsidRDefault="004A7107" w:rsidP="00B14C9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Century Gothic" w:eastAsia="Times New Roman" w:hAnsi="Century Gothic" w:cs="Calibri"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Pr="00E176FF" w:rsidRDefault="004A7107" w:rsidP="00EF2770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Century Gothic" w:eastAsia="Times New Roman" w:hAnsi="Century Gothic" w:cs="Calibri"/>
                <w:color w:val="000000" w:themeColor="text1"/>
                <w:sz w:val="24"/>
                <w:szCs w:val="24"/>
                <w:lang w:eastAsia="ru-RU"/>
              </w:rPr>
              <w:t>1,24</w:t>
            </w:r>
          </w:p>
        </w:tc>
        <w:tc>
          <w:tcPr>
            <w:tcW w:w="10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7107" w:rsidRPr="00E176FF" w:rsidRDefault="004A7107" w:rsidP="00B14C9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Century Gothic" w:eastAsia="Times New Roman" w:hAnsi="Century Gothic" w:cs="Calibri"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</w:tr>
      <w:tr w:rsidR="004A7107" w:rsidRPr="00B14C92" w:rsidTr="00F973E5">
        <w:trPr>
          <w:trHeight w:val="20"/>
        </w:trPr>
        <w:tc>
          <w:tcPr>
            <w:tcW w:w="5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Pr="00B14C92" w:rsidRDefault="004A7107" w:rsidP="00B14C9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4"/>
                <w:szCs w:val="24"/>
                <w:lang w:eastAsia="ru-RU"/>
              </w:rPr>
            </w:pPr>
            <w:r w:rsidRPr="00B14C92">
              <w:rPr>
                <w:rFonts w:ascii="Century Gothic" w:eastAsia="Times New Roman" w:hAnsi="Century Gothic" w:cs="Calibri"/>
                <w:color w:val="000000"/>
                <w:sz w:val="24"/>
                <w:szCs w:val="24"/>
                <w:lang w:eastAsia="ru-RU"/>
              </w:rPr>
              <w:t>1</w:t>
            </w:r>
            <w:r w:rsidR="009A20E2">
              <w:rPr>
                <w:rFonts w:ascii="Century Gothic" w:eastAsia="Times New Roman" w:hAnsi="Century Gothic" w:cs="Calibri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4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Pr="008604CE" w:rsidRDefault="004A7107" w:rsidP="00EF2770">
            <w:pPr>
              <w:spacing w:after="0" w:line="240" w:lineRule="auto"/>
              <w:rPr>
                <w:rFonts w:ascii="Century Gothic" w:eastAsia="Times New Roman" w:hAnsi="Century Gothic" w:cs="Calibri"/>
                <w:lang w:eastAsia="ru-RU"/>
              </w:rPr>
            </w:pPr>
            <w:r w:rsidRPr="008604CE">
              <w:rPr>
                <w:rFonts w:ascii="Century Gothic" w:eastAsia="Times New Roman" w:hAnsi="Century Gothic" w:cs="Calibri"/>
                <w:lang w:eastAsia="ru-RU"/>
              </w:rPr>
              <w:t>МП "Обеспечение доступным и комфортным жильем населения городского округа город Рыбинск"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Pr="008604CE" w:rsidRDefault="009A20E2" w:rsidP="00DB40A9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8,42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Pr="008604CE" w:rsidRDefault="009A20E2" w:rsidP="00BE59E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1,29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Pr="008604CE" w:rsidRDefault="009A20E2" w:rsidP="00BE59E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3,93</w:t>
            </w:r>
          </w:p>
        </w:tc>
        <w:tc>
          <w:tcPr>
            <w:tcW w:w="10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7107" w:rsidRPr="008604CE" w:rsidRDefault="004A7107" w:rsidP="00B14C9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 w:rsidRPr="008604CE"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0,00</w:t>
            </w:r>
          </w:p>
        </w:tc>
      </w:tr>
      <w:tr w:rsidR="004A7107" w:rsidRPr="00B14C92" w:rsidTr="00F973E5">
        <w:trPr>
          <w:trHeight w:val="75"/>
        </w:trPr>
        <w:tc>
          <w:tcPr>
            <w:tcW w:w="5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Pr="00B14C92" w:rsidRDefault="004A7107" w:rsidP="00B14C9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4"/>
                <w:szCs w:val="24"/>
                <w:lang w:eastAsia="ru-RU"/>
              </w:rPr>
            </w:pPr>
            <w:r w:rsidRPr="00B14C92">
              <w:rPr>
                <w:rFonts w:ascii="Century Gothic" w:eastAsia="Times New Roman" w:hAnsi="Century Gothic" w:cs="Calibri"/>
                <w:color w:val="000000"/>
                <w:sz w:val="24"/>
                <w:szCs w:val="24"/>
                <w:lang w:eastAsia="ru-RU"/>
              </w:rPr>
              <w:t>1</w:t>
            </w:r>
            <w:r w:rsidR="009A20E2">
              <w:rPr>
                <w:rFonts w:ascii="Century Gothic" w:eastAsia="Times New Roman" w:hAnsi="Century Gothic" w:cs="Calibri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4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Pr="008604CE" w:rsidRDefault="004A7107" w:rsidP="00EF2770">
            <w:pPr>
              <w:spacing w:after="0" w:line="240" w:lineRule="auto"/>
              <w:rPr>
                <w:rFonts w:ascii="Century Gothic" w:eastAsia="Times New Roman" w:hAnsi="Century Gothic" w:cs="Calibri"/>
                <w:lang w:eastAsia="ru-RU"/>
              </w:rPr>
            </w:pPr>
            <w:r w:rsidRPr="008604CE">
              <w:rPr>
                <w:rFonts w:ascii="Century Gothic" w:eastAsia="Times New Roman" w:hAnsi="Century Gothic" w:cs="Calibri"/>
                <w:lang w:eastAsia="ru-RU"/>
              </w:rPr>
              <w:t>МП "Гражданское общество и открытая власть "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Pr="008604CE" w:rsidRDefault="009A20E2" w:rsidP="00BE59E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5,52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Pr="008604CE" w:rsidRDefault="004A7107" w:rsidP="00B14C9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 w:rsidRPr="008604CE"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Pr="008604CE" w:rsidRDefault="004A7107" w:rsidP="009A20E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 w:rsidRPr="008604CE"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0,</w:t>
            </w:r>
            <w:r w:rsidR="009A20E2"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0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7107" w:rsidRPr="008604CE" w:rsidRDefault="004A7107" w:rsidP="00B14C9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 w:rsidRPr="008604CE"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0,00</w:t>
            </w:r>
          </w:p>
        </w:tc>
      </w:tr>
      <w:tr w:rsidR="004A7107" w:rsidRPr="00B14C92" w:rsidTr="00F973E5">
        <w:trPr>
          <w:trHeight w:val="75"/>
        </w:trPr>
        <w:tc>
          <w:tcPr>
            <w:tcW w:w="58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A7107" w:rsidRPr="00B14C92" w:rsidRDefault="004A7107" w:rsidP="00B14C92">
            <w:pPr>
              <w:spacing w:after="0" w:line="240" w:lineRule="auto"/>
              <w:rPr>
                <w:rFonts w:ascii="Century Gothic" w:eastAsia="Times New Roman" w:hAnsi="Century Gothic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14C92">
              <w:rPr>
                <w:rFonts w:ascii="Century Gothic" w:eastAsia="Times New Roman" w:hAnsi="Century Gothic" w:cs="Calibri"/>
                <w:b/>
                <w:bCs/>
                <w:color w:val="000000"/>
                <w:sz w:val="28"/>
                <w:szCs w:val="28"/>
                <w:lang w:eastAsia="ru-RU"/>
              </w:rPr>
              <w:t xml:space="preserve">Итого: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Pr="00B14C92" w:rsidRDefault="004A7107" w:rsidP="00DF67EC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14C92">
              <w:rPr>
                <w:rFonts w:ascii="Century Gothic" w:eastAsia="Times New Roman" w:hAnsi="Century Gothic" w:cs="Calibri"/>
                <w:b/>
                <w:bCs/>
                <w:color w:val="000000"/>
                <w:sz w:val="24"/>
                <w:szCs w:val="24"/>
                <w:lang w:eastAsia="ru-RU"/>
              </w:rPr>
              <w:t>1506,</w:t>
            </w:r>
            <w:r>
              <w:rPr>
                <w:rFonts w:ascii="Century Gothic" w:eastAsia="Times New Roman" w:hAnsi="Century Gothic" w:cs="Calibri"/>
                <w:b/>
                <w:bCs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Pr="00B14C92" w:rsidRDefault="004A7107" w:rsidP="00FB6BB1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entury Gothic" w:eastAsia="Times New Roman" w:hAnsi="Century Gothic" w:cs="Calibri"/>
                <w:b/>
                <w:bCs/>
                <w:color w:val="000000"/>
                <w:sz w:val="24"/>
                <w:szCs w:val="24"/>
                <w:lang w:eastAsia="ru-RU"/>
              </w:rPr>
              <w:t>255,16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Pr="00B14C92" w:rsidRDefault="004A7107" w:rsidP="00C30345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14C92">
              <w:rPr>
                <w:rFonts w:ascii="Century Gothic" w:eastAsia="Times New Roman" w:hAnsi="Century Gothic" w:cs="Calibri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Century Gothic" w:eastAsia="Times New Roman" w:hAnsi="Century Gothic" w:cs="Calibri"/>
                <w:b/>
                <w:bCs/>
                <w:color w:val="000000"/>
                <w:sz w:val="24"/>
                <w:szCs w:val="24"/>
                <w:lang w:eastAsia="ru-RU"/>
              </w:rPr>
              <w:t>651</w:t>
            </w:r>
            <w:r w:rsidRPr="00B14C92">
              <w:rPr>
                <w:rFonts w:ascii="Century Gothic" w:eastAsia="Times New Roman" w:hAnsi="Century Gothic" w:cs="Calibri"/>
                <w:b/>
                <w:bCs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Century Gothic" w:eastAsia="Times New Roman" w:hAnsi="Century Gothic" w:cs="Calibri"/>
                <w:b/>
                <w:bCs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0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7107" w:rsidRPr="00B14C92" w:rsidRDefault="004A7107" w:rsidP="00DF67EC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entury Gothic" w:eastAsia="Times New Roman" w:hAnsi="Century Gothic" w:cs="Calibri"/>
                <w:b/>
                <w:bCs/>
                <w:color w:val="000000"/>
                <w:sz w:val="24"/>
                <w:szCs w:val="24"/>
                <w:lang w:eastAsia="ru-RU"/>
              </w:rPr>
              <w:t>85,22</w:t>
            </w:r>
          </w:p>
        </w:tc>
      </w:tr>
    </w:tbl>
    <w:p w:rsidR="00F973E5" w:rsidRDefault="00F973E5" w:rsidP="008E5675">
      <w:pPr>
        <w:spacing w:after="0" w:line="240" w:lineRule="auto"/>
        <w:ind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</w:p>
    <w:p w:rsidR="008E5675" w:rsidRDefault="008E5675" w:rsidP="008E5675">
      <w:pPr>
        <w:spacing w:after="0" w:line="240" w:lineRule="auto"/>
        <w:ind w:firstLine="567"/>
        <w:jc w:val="both"/>
        <w:rPr>
          <w:rFonts w:ascii="Century Gothic" w:eastAsia="Times New Roman" w:hAnsi="Century Gothic"/>
          <w:b/>
          <w:sz w:val="24"/>
          <w:szCs w:val="24"/>
          <w:lang w:eastAsia="ru-RU"/>
        </w:rPr>
      </w:pP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>В 201</w:t>
      </w:r>
      <w:r w:rsidR="009A20E2">
        <w:rPr>
          <w:rFonts w:ascii="Century Gothic" w:eastAsia="Times New Roman" w:hAnsi="Century Gothic"/>
          <w:sz w:val="24"/>
          <w:szCs w:val="24"/>
          <w:lang w:eastAsia="ru-RU"/>
        </w:rPr>
        <w:t>8</w:t>
      </w: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 году коэффициент привлечения средств вышестоящих бюджетов, а также внебюджетных источников на реализацию всех </w:t>
      </w:r>
      <w:r w:rsidR="002406F0">
        <w:rPr>
          <w:rFonts w:ascii="Century Gothic" w:eastAsia="Times New Roman" w:hAnsi="Century Gothic"/>
          <w:sz w:val="24"/>
          <w:szCs w:val="24"/>
          <w:lang w:eastAsia="ru-RU"/>
        </w:rPr>
        <w:t>МП и ВЦП</w:t>
      </w:r>
      <w:r w:rsidR="005968BF">
        <w:rPr>
          <w:rFonts w:ascii="Century Gothic" w:eastAsia="Times New Roman" w:hAnsi="Century Gothic"/>
          <w:sz w:val="24"/>
          <w:szCs w:val="24"/>
          <w:lang w:eastAsia="ru-RU"/>
        </w:rPr>
        <w:t xml:space="preserve"> </w:t>
      </w: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составил </w:t>
      </w:r>
      <w:r w:rsidR="009A20E2">
        <w:rPr>
          <w:rFonts w:ascii="Century Gothic" w:eastAsia="Times New Roman" w:hAnsi="Century Gothic"/>
          <w:b/>
          <w:sz w:val="24"/>
          <w:szCs w:val="24"/>
          <w:lang w:eastAsia="ru-RU"/>
        </w:rPr>
        <w:t>2,25</w:t>
      </w:r>
      <w:r w:rsidRPr="006D6355">
        <w:rPr>
          <w:rFonts w:ascii="Century Gothic" w:eastAsia="Times New Roman" w:hAnsi="Century Gothic"/>
          <w:b/>
          <w:sz w:val="24"/>
          <w:szCs w:val="24"/>
          <w:lang w:eastAsia="ru-RU"/>
        </w:rPr>
        <w:t>.</w:t>
      </w:r>
    </w:p>
    <w:p w:rsidR="00D802EB" w:rsidRPr="006D6355" w:rsidRDefault="009A20E2" w:rsidP="00D802EB">
      <w:pPr>
        <w:spacing w:after="0" w:line="240" w:lineRule="auto"/>
        <w:jc w:val="both"/>
        <w:rPr>
          <w:rFonts w:ascii="Century Gothic" w:eastAsia="Times New Roman" w:hAnsi="Century Gothic"/>
          <w:b/>
          <w:sz w:val="24"/>
          <w:szCs w:val="24"/>
          <w:lang w:eastAsia="ru-RU"/>
        </w:rPr>
      </w:pPr>
      <w:r w:rsidRPr="009A20E2">
        <w:rPr>
          <w:rFonts w:ascii="Century Gothic" w:eastAsia="Times New Roman" w:hAnsi="Century Gothic"/>
          <w:b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6467475" cy="2743200"/>
            <wp:effectExtent l="0" t="0" r="0" b="0"/>
            <wp:docPr id="2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9A20E2" w:rsidRDefault="009A20E2" w:rsidP="008E5675">
      <w:pPr>
        <w:spacing w:after="0" w:line="240" w:lineRule="auto"/>
        <w:ind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</w:p>
    <w:p w:rsidR="008E5675" w:rsidRDefault="008E5675" w:rsidP="008E5675">
      <w:pPr>
        <w:spacing w:after="0" w:line="240" w:lineRule="auto"/>
        <w:ind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 w:rsidRPr="00B14C92">
        <w:rPr>
          <w:rFonts w:ascii="Century Gothic" w:eastAsia="Times New Roman" w:hAnsi="Century Gothic"/>
          <w:sz w:val="24"/>
          <w:szCs w:val="24"/>
          <w:lang w:eastAsia="ru-RU"/>
        </w:rPr>
        <w:t xml:space="preserve">Основные </w:t>
      </w:r>
      <w:r w:rsidR="002406F0">
        <w:rPr>
          <w:rFonts w:ascii="Century Gothic" w:eastAsia="Times New Roman" w:hAnsi="Century Gothic"/>
          <w:sz w:val="24"/>
          <w:szCs w:val="24"/>
          <w:lang w:eastAsia="ru-RU"/>
        </w:rPr>
        <w:t>объемы софинансирования из вышестоящих бюджетов</w:t>
      </w:r>
      <w:r w:rsidRPr="00B14C92">
        <w:rPr>
          <w:rFonts w:ascii="Century Gothic" w:eastAsia="Times New Roman" w:hAnsi="Century Gothic"/>
          <w:sz w:val="24"/>
          <w:szCs w:val="24"/>
          <w:lang w:eastAsia="ru-RU"/>
        </w:rPr>
        <w:t xml:space="preserve"> в 201</w:t>
      </w:r>
      <w:r w:rsidR="009A20E2">
        <w:rPr>
          <w:rFonts w:ascii="Century Gothic" w:eastAsia="Times New Roman" w:hAnsi="Century Gothic"/>
          <w:sz w:val="24"/>
          <w:szCs w:val="24"/>
          <w:lang w:eastAsia="ru-RU"/>
        </w:rPr>
        <w:t>8</w:t>
      </w:r>
      <w:r w:rsidRPr="00B14C92">
        <w:rPr>
          <w:rFonts w:ascii="Century Gothic" w:eastAsia="Times New Roman" w:hAnsi="Century Gothic"/>
          <w:sz w:val="24"/>
          <w:szCs w:val="24"/>
          <w:lang w:eastAsia="ru-RU"/>
        </w:rPr>
        <w:t xml:space="preserve"> году были получены</w:t>
      </w:r>
      <w:r w:rsidR="00B14C92" w:rsidRPr="00B14C92">
        <w:rPr>
          <w:rFonts w:ascii="Century Gothic" w:eastAsia="Times New Roman" w:hAnsi="Century Gothic"/>
          <w:sz w:val="24"/>
          <w:szCs w:val="24"/>
          <w:lang w:eastAsia="ru-RU"/>
        </w:rPr>
        <w:t xml:space="preserve"> по</w:t>
      </w:r>
      <w:r w:rsidRPr="00B14C92">
        <w:rPr>
          <w:rFonts w:ascii="Century Gothic" w:eastAsia="Times New Roman" w:hAnsi="Century Gothic"/>
          <w:sz w:val="24"/>
          <w:szCs w:val="24"/>
          <w:lang w:eastAsia="ru-RU"/>
        </w:rPr>
        <w:t xml:space="preserve"> </w:t>
      </w:r>
      <w:r w:rsidR="00B14C92" w:rsidRPr="00B14C92">
        <w:rPr>
          <w:rFonts w:ascii="Century Gothic" w:eastAsia="Times New Roman" w:hAnsi="Century Gothic"/>
          <w:sz w:val="24"/>
          <w:szCs w:val="24"/>
          <w:lang w:eastAsia="ru-RU"/>
        </w:rPr>
        <w:t>МП «Развитие общего образования в городском округе город Рыбинск»</w:t>
      </w:r>
      <w:r w:rsidR="00B14C92">
        <w:rPr>
          <w:rFonts w:ascii="Century Gothic" w:eastAsia="Times New Roman" w:hAnsi="Century Gothic"/>
          <w:sz w:val="24"/>
          <w:szCs w:val="24"/>
          <w:lang w:eastAsia="ru-RU"/>
        </w:rPr>
        <w:t xml:space="preserve">, </w:t>
      </w:r>
      <w:r w:rsidR="00B14C92" w:rsidRPr="00B14C92">
        <w:rPr>
          <w:rFonts w:ascii="Century Gothic" w:eastAsia="Times New Roman" w:hAnsi="Century Gothic"/>
          <w:sz w:val="24"/>
          <w:szCs w:val="24"/>
          <w:lang w:eastAsia="ru-RU"/>
        </w:rPr>
        <w:t xml:space="preserve">ВЦП «Социальная поддержка населения городского округа город Рыбинск» </w:t>
      </w:r>
      <w:r w:rsidR="00B14C92">
        <w:rPr>
          <w:rFonts w:ascii="Century Gothic" w:eastAsia="Times New Roman" w:hAnsi="Century Gothic"/>
          <w:sz w:val="24"/>
          <w:szCs w:val="24"/>
          <w:lang w:eastAsia="ru-RU"/>
        </w:rPr>
        <w:t xml:space="preserve">и </w:t>
      </w:r>
      <w:r w:rsidR="00B14C92" w:rsidRPr="00B14C92">
        <w:rPr>
          <w:rFonts w:ascii="Century Gothic" w:eastAsia="Times New Roman" w:hAnsi="Century Gothic"/>
          <w:sz w:val="24"/>
          <w:szCs w:val="24"/>
          <w:lang w:eastAsia="ru-RU"/>
        </w:rPr>
        <w:t xml:space="preserve">МП </w:t>
      </w:r>
      <w:r w:rsidR="00FF553A">
        <w:rPr>
          <w:rFonts w:ascii="Century Gothic" w:eastAsia="Times New Roman" w:hAnsi="Century Gothic"/>
          <w:sz w:val="24"/>
          <w:szCs w:val="24"/>
          <w:lang w:eastAsia="ru-RU"/>
        </w:rPr>
        <w:t>«</w:t>
      </w:r>
      <w:r w:rsidR="00B14C92" w:rsidRPr="00B14C92">
        <w:rPr>
          <w:rFonts w:ascii="Century Gothic" w:eastAsia="Times New Roman" w:hAnsi="Century Gothic"/>
          <w:sz w:val="24"/>
          <w:szCs w:val="24"/>
          <w:lang w:eastAsia="ru-RU"/>
        </w:rPr>
        <w:t>Развитие дорожного хозяйства  городского округа город Рыбинск</w:t>
      </w:r>
      <w:r w:rsidR="00B14C92">
        <w:rPr>
          <w:rFonts w:ascii="Century Gothic" w:eastAsia="Times New Roman" w:hAnsi="Century Gothic"/>
          <w:sz w:val="24"/>
          <w:szCs w:val="24"/>
          <w:lang w:eastAsia="ru-RU"/>
        </w:rPr>
        <w:t>».</w:t>
      </w:r>
    </w:p>
    <w:p w:rsidR="002406F0" w:rsidRPr="006D6355" w:rsidRDefault="002406F0" w:rsidP="008E5675">
      <w:pPr>
        <w:spacing w:after="0" w:line="240" w:lineRule="auto"/>
        <w:ind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</w:p>
    <w:p w:rsidR="008E5675" w:rsidRPr="006D6355" w:rsidRDefault="008E5675" w:rsidP="008E5675">
      <w:pPr>
        <w:spacing w:after="0" w:line="240" w:lineRule="auto"/>
        <w:ind w:firstLine="567"/>
        <w:jc w:val="center"/>
        <w:rPr>
          <w:rFonts w:ascii="Century Gothic" w:eastAsia="Times New Roman" w:hAnsi="Century Gothic"/>
          <w:b/>
          <w:bCs/>
          <w:sz w:val="24"/>
          <w:szCs w:val="24"/>
          <w:lang w:eastAsia="ru-RU"/>
        </w:rPr>
      </w:pPr>
      <w:r w:rsidRPr="006D6355">
        <w:rPr>
          <w:rFonts w:ascii="Century Gothic" w:eastAsia="Times New Roman" w:hAnsi="Century Gothic"/>
          <w:b/>
          <w:bCs/>
          <w:sz w:val="24"/>
          <w:szCs w:val="24"/>
          <w:lang w:eastAsia="ru-RU"/>
        </w:rPr>
        <w:t>Оценка результативности и эффективности программ</w:t>
      </w:r>
    </w:p>
    <w:p w:rsidR="008E5675" w:rsidRPr="006D6355" w:rsidRDefault="008E5675" w:rsidP="008E5675">
      <w:pPr>
        <w:spacing w:after="0" w:line="240" w:lineRule="auto"/>
        <w:ind w:right="-1"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Для оценки эффективности использования расходуемых бюджетных средств на </w:t>
      </w:r>
      <w:r w:rsidRPr="006D6355">
        <w:rPr>
          <w:rFonts w:ascii="Century Gothic" w:eastAsia="Times New Roman" w:hAnsi="Century Gothic"/>
          <w:iCs/>
          <w:sz w:val="24"/>
          <w:szCs w:val="24"/>
          <w:lang w:eastAsia="ru-RU"/>
        </w:rPr>
        <w:t xml:space="preserve">реализацию программ, действовавших в </w:t>
      </w: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>201</w:t>
      </w:r>
      <w:r w:rsidR="001458BA">
        <w:rPr>
          <w:rFonts w:ascii="Century Gothic" w:eastAsia="Times New Roman" w:hAnsi="Century Gothic"/>
          <w:sz w:val="24"/>
          <w:szCs w:val="24"/>
          <w:lang w:eastAsia="ru-RU"/>
        </w:rPr>
        <w:t>8</w:t>
      </w: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 году, проведен мониторинг результативности и эффективности программ.</w:t>
      </w:r>
    </w:p>
    <w:p w:rsidR="002406F0" w:rsidRPr="006D6355" w:rsidRDefault="008E5675" w:rsidP="008E5675">
      <w:pPr>
        <w:spacing w:after="0" w:line="240" w:lineRule="auto"/>
        <w:ind w:right="-1"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>Рейтинговая оценка действующих программ проведена в соответствии с Методикой оценки эффективности реализации МП</w:t>
      </w:r>
      <w:r w:rsidR="009020BC">
        <w:rPr>
          <w:rFonts w:ascii="Century Gothic" w:eastAsia="Times New Roman" w:hAnsi="Century Gothic"/>
          <w:sz w:val="24"/>
          <w:szCs w:val="24"/>
          <w:lang w:eastAsia="ru-RU"/>
        </w:rPr>
        <w:t xml:space="preserve"> и ВЦП</w:t>
      </w: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 (постановление от 06.06.2014 №1727). Рейтинговая оценка каждой программы представлена в Приложении </w:t>
      </w:r>
      <w:r w:rsidR="00D76919">
        <w:rPr>
          <w:rFonts w:ascii="Century Gothic" w:eastAsia="Times New Roman" w:hAnsi="Century Gothic"/>
          <w:sz w:val="24"/>
          <w:szCs w:val="24"/>
          <w:lang w:eastAsia="ru-RU"/>
        </w:rPr>
        <w:t>3</w:t>
      </w: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>.</w:t>
      </w:r>
    </w:p>
    <w:p w:rsidR="008E5675" w:rsidRPr="006D6355" w:rsidRDefault="008E5675" w:rsidP="008E5675">
      <w:pPr>
        <w:spacing w:after="0" w:line="240" w:lineRule="auto"/>
        <w:ind w:right="-1"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>В результате проведения анализа оценки эффективности признаны:</w:t>
      </w:r>
    </w:p>
    <w:p w:rsidR="008E5675" w:rsidRPr="006D6355" w:rsidRDefault="008E5675" w:rsidP="008E5675">
      <w:pPr>
        <w:spacing w:after="0" w:line="240" w:lineRule="auto"/>
        <w:ind w:firstLine="567"/>
        <w:jc w:val="both"/>
        <w:rPr>
          <w:rFonts w:ascii="Century Gothic" w:eastAsia="Times New Roman" w:hAnsi="Century Gothic"/>
          <w:color w:val="000000"/>
          <w:sz w:val="24"/>
          <w:szCs w:val="24"/>
          <w:lang w:eastAsia="ru-RU"/>
        </w:rPr>
      </w:pPr>
      <w:proofErr w:type="gramStart"/>
      <w:r w:rsidRPr="006D6355">
        <w:rPr>
          <w:rFonts w:ascii="Century Gothic" w:eastAsia="Times New Roman" w:hAnsi="Century Gothic"/>
          <w:color w:val="000000"/>
          <w:sz w:val="24"/>
          <w:szCs w:val="24"/>
          <w:lang w:val="en-US" w:eastAsia="ru-RU"/>
        </w:rPr>
        <w:t>I</w:t>
      </w:r>
      <w:r w:rsidRPr="006D6355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 xml:space="preserve">. </w:t>
      </w:r>
      <w:r w:rsidRPr="006D6355">
        <w:rPr>
          <w:rFonts w:ascii="Century Gothic" w:eastAsia="Times New Roman" w:hAnsi="Century Gothic"/>
          <w:b/>
          <w:color w:val="000000"/>
          <w:sz w:val="24"/>
          <w:szCs w:val="24"/>
          <w:lang w:eastAsia="ru-RU"/>
        </w:rPr>
        <w:t>Высокоэффективными</w:t>
      </w:r>
      <w:r w:rsidRPr="006D6355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 xml:space="preserve"> - </w:t>
      </w:r>
      <w:r w:rsidR="009020BC" w:rsidRPr="009020BC">
        <w:rPr>
          <w:rFonts w:ascii="Century Gothic" w:eastAsia="Times New Roman" w:hAnsi="Century Gothic"/>
          <w:b/>
          <w:color w:val="000000"/>
          <w:sz w:val="24"/>
          <w:szCs w:val="24"/>
          <w:lang w:eastAsia="ru-RU"/>
        </w:rPr>
        <w:t>1</w:t>
      </w:r>
      <w:r w:rsidR="001458BA">
        <w:rPr>
          <w:rFonts w:ascii="Century Gothic" w:eastAsia="Times New Roman" w:hAnsi="Century Gothic"/>
          <w:b/>
          <w:color w:val="000000"/>
          <w:sz w:val="24"/>
          <w:szCs w:val="24"/>
          <w:lang w:eastAsia="ru-RU"/>
        </w:rPr>
        <w:t>7</w:t>
      </w:r>
      <w:r w:rsidRPr="006D6355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 xml:space="preserve"> программ (интегральная оценка &gt;80 баллов).</w:t>
      </w:r>
      <w:proofErr w:type="gramEnd"/>
      <w:r w:rsidRPr="006D6355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 xml:space="preserve"> </w:t>
      </w:r>
    </w:p>
    <w:p w:rsidR="008E5675" w:rsidRPr="006D6355" w:rsidRDefault="008E5675" w:rsidP="008E5675">
      <w:pPr>
        <w:spacing w:after="0" w:line="240" w:lineRule="auto"/>
        <w:ind w:firstLine="567"/>
        <w:jc w:val="both"/>
        <w:rPr>
          <w:rFonts w:ascii="Century Gothic" w:eastAsia="Times New Roman" w:hAnsi="Century Gothic"/>
          <w:color w:val="000000"/>
          <w:sz w:val="24"/>
          <w:szCs w:val="24"/>
          <w:lang w:eastAsia="ru-RU"/>
        </w:rPr>
      </w:pPr>
      <w:r w:rsidRPr="006D6355">
        <w:rPr>
          <w:rFonts w:ascii="Century Gothic" w:eastAsia="Times New Roman" w:hAnsi="Century Gothic"/>
          <w:color w:val="000000"/>
          <w:sz w:val="24"/>
          <w:szCs w:val="24"/>
          <w:lang w:val="en-US" w:eastAsia="ru-RU"/>
        </w:rPr>
        <w:t>II</w:t>
      </w:r>
      <w:r w:rsidRPr="006D6355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>.</w:t>
      </w:r>
      <w:r w:rsidR="00F973E5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 xml:space="preserve"> </w:t>
      </w:r>
      <w:r w:rsidRPr="006D6355">
        <w:rPr>
          <w:rFonts w:ascii="Century Gothic" w:eastAsia="Times New Roman" w:hAnsi="Century Gothic"/>
          <w:b/>
          <w:color w:val="000000"/>
          <w:sz w:val="24"/>
          <w:szCs w:val="24"/>
          <w:lang w:eastAsia="ru-RU"/>
        </w:rPr>
        <w:t>Умеренно эффективными</w:t>
      </w:r>
      <w:r w:rsidRPr="006D6355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 xml:space="preserve"> - </w:t>
      </w:r>
      <w:r w:rsidR="001458BA" w:rsidRPr="00FF553A">
        <w:rPr>
          <w:rFonts w:ascii="Century Gothic" w:eastAsia="Times New Roman" w:hAnsi="Century Gothic"/>
          <w:b/>
          <w:color w:val="000000"/>
          <w:sz w:val="24"/>
          <w:szCs w:val="24"/>
          <w:lang w:eastAsia="ru-RU"/>
        </w:rPr>
        <w:t>6</w:t>
      </w:r>
      <w:r w:rsidRPr="00D76919">
        <w:rPr>
          <w:rFonts w:ascii="Century Gothic" w:eastAsia="Times New Roman" w:hAnsi="Century Gothic"/>
          <w:b/>
          <w:color w:val="000000"/>
          <w:sz w:val="24"/>
          <w:szCs w:val="24"/>
          <w:lang w:eastAsia="ru-RU"/>
        </w:rPr>
        <w:t xml:space="preserve"> </w:t>
      </w:r>
      <w:r w:rsidRPr="006D6355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>программ (интегральная оценка от 50 до 80 баллов).</w:t>
      </w:r>
    </w:p>
    <w:p w:rsidR="008E5675" w:rsidRPr="006D6355" w:rsidRDefault="008E5675" w:rsidP="008E5675">
      <w:pPr>
        <w:spacing w:after="0" w:line="240" w:lineRule="auto"/>
        <w:ind w:firstLine="567"/>
        <w:jc w:val="both"/>
        <w:rPr>
          <w:rFonts w:ascii="Century Gothic" w:eastAsia="Times New Roman" w:hAnsi="Century Gothic"/>
          <w:color w:val="000000"/>
          <w:sz w:val="24"/>
          <w:szCs w:val="24"/>
          <w:lang w:eastAsia="ru-RU"/>
        </w:rPr>
      </w:pPr>
      <w:r w:rsidRPr="006D6355">
        <w:rPr>
          <w:rFonts w:ascii="Century Gothic" w:eastAsia="Times New Roman" w:hAnsi="Century Gothic"/>
          <w:color w:val="000000"/>
          <w:sz w:val="24"/>
          <w:szCs w:val="24"/>
          <w:lang w:val="en-US" w:eastAsia="ru-RU"/>
        </w:rPr>
        <w:t>III</w:t>
      </w:r>
      <w:r w:rsidRPr="006D6355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 xml:space="preserve">. </w:t>
      </w:r>
      <w:r w:rsidRPr="006D6355">
        <w:rPr>
          <w:rFonts w:ascii="Century Gothic" w:eastAsia="Times New Roman" w:hAnsi="Century Gothic"/>
          <w:b/>
          <w:color w:val="000000"/>
          <w:sz w:val="24"/>
          <w:szCs w:val="24"/>
          <w:lang w:eastAsia="ru-RU"/>
        </w:rPr>
        <w:t>Низкоэффективн</w:t>
      </w:r>
      <w:r w:rsidR="002406F0">
        <w:rPr>
          <w:rFonts w:ascii="Century Gothic" w:eastAsia="Times New Roman" w:hAnsi="Century Gothic"/>
          <w:b/>
          <w:color w:val="000000"/>
          <w:sz w:val="24"/>
          <w:szCs w:val="24"/>
          <w:lang w:eastAsia="ru-RU"/>
        </w:rPr>
        <w:t>ыми</w:t>
      </w:r>
      <w:r w:rsidRPr="006D6355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 xml:space="preserve"> –</w:t>
      </w:r>
      <w:r w:rsidR="00D76919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 xml:space="preserve"> </w:t>
      </w:r>
      <w:r w:rsidR="00D76919" w:rsidRPr="00D76919">
        <w:rPr>
          <w:rFonts w:ascii="Century Gothic" w:eastAsia="Times New Roman" w:hAnsi="Century Gothic"/>
          <w:b/>
          <w:color w:val="000000"/>
          <w:sz w:val="24"/>
          <w:szCs w:val="24"/>
          <w:lang w:eastAsia="ru-RU"/>
        </w:rPr>
        <w:t>0</w:t>
      </w:r>
      <w:r w:rsidR="00D76919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 xml:space="preserve"> программ</w:t>
      </w:r>
      <w:r w:rsidRPr="00D76919">
        <w:rPr>
          <w:rFonts w:ascii="Century Gothic" w:eastAsia="Times New Roman" w:hAnsi="Century Gothic"/>
          <w:b/>
          <w:color w:val="000000"/>
          <w:sz w:val="24"/>
          <w:szCs w:val="24"/>
          <w:lang w:eastAsia="ru-RU"/>
        </w:rPr>
        <w:t xml:space="preserve"> </w:t>
      </w:r>
      <w:r w:rsidRPr="006D6355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>(интегральная оценка от 30 до 50 баллов).</w:t>
      </w:r>
    </w:p>
    <w:p w:rsidR="008E5675" w:rsidRPr="006D6355" w:rsidRDefault="008E5675" w:rsidP="008E5675">
      <w:pPr>
        <w:spacing w:after="0" w:line="240" w:lineRule="auto"/>
        <w:ind w:firstLine="567"/>
        <w:jc w:val="both"/>
        <w:rPr>
          <w:rFonts w:ascii="Century Gothic" w:eastAsia="Times New Roman" w:hAnsi="Century Gothic"/>
          <w:color w:val="000000"/>
          <w:sz w:val="24"/>
          <w:szCs w:val="24"/>
          <w:lang w:eastAsia="ru-RU"/>
        </w:rPr>
      </w:pPr>
      <w:r w:rsidRPr="006D6355">
        <w:rPr>
          <w:rFonts w:ascii="Century Gothic" w:eastAsia="Times New Roman" w:hAnsi="Century Gothic"/>
          <w:color w:val="000000"/>
          <w:sz w:val="24"/>
          <w:szCs w:val="24"/>
          <w:lang w:val="en-US" w:eastAsia="ru-RU"/>
        </w:rPr>
        <w:t>IV</w:t>
      </w:r>
      <w:r w:rsidRPr="006D6355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 xml:space="preserve">. </w:t>
      </w:r>
      <w:r w:rsidRPr="006D6355">
        <w:rPr>
          <w:rFonts w:ascii="Century Gothic" w:eastAsia="Times New Roman" w:hAnsi="Century Gothic"/>
          <w:b/>
          <w:color w:val="000000"/>
          <w:sz w:val="24"/>
          <w:szCs w:val="24"/>
          <w:lang w:eastAsia="ru-RU"/>
        </w:rPr>
        <w:t xml:space="preserve">Неэффективной </w:t>
      </w:r>
      <w:r w:rsidRPr="006D6355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 xml:space="preserve">– </w:t>
      </w:r>
      <w:r w:rsidR="009020BC" w:rsidRPr="00B93F5F">
        <w:rPr>
          <w:rFonts w:ascii="Century Gothic" w:eastAsia="Times New Roman" w:hAnsi="Century Gothic"/>
          <w:b/>
          <w:color w:val="000000"/>
          <w:sz w:val="24"/>
          <w:szCs w:val="24"/>
          <w:lang w:eastAsia="ru-RU"/>
        </w:rPr>
        <w:t>0</w:t>
      </w:r>
      <w:r w:rsidR="009020BC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 xml:space="preserve"> программ</w:t>
      </w:r>
      <w:r w:rsidRPr="006D6355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 xml:space="preserve"> (интегральная оценка – от 0 до 30 баллов).</w:t>
      </w:r>
    </w:p>
    <w:p w:rsidR="003E10CB" w:rsidRDefault="00D434F9" w:rsidP="008E5675">
      <w:pPr>
        <w:spacing w:after="0" w:line="240" w:lineRule="auto"/>
        <w:ind w:firstLine="567"/>
        <w:jc w:val="both"/>
        <w:rPr>
          <w:rFonts w:ascii="Century Gothic" w:eastAsia="Times New Roman" w:hAnsi="Century Gothic"/>
          <w:color w:val="FF0000"/>
          <w:sz w:val="24"/>
          <w:szCs w:val="24"/>
          <w:lang w:eastAsia="ru-RU"/>
        </w:rPr>
      </w:pPr>
      <w:proofErr w:type="gramStart"/>
      <w:r>
        <w:rPr>
          <w:rFonts w:ascii="Century Gothic" w:eastAsia="Times New Roman" w:hAnsi="Century Gothic"/>
          <w:sz w:val="24"/>
          <w:szCs w:val="24"/>
          <w:lang w:eastAsia="ru-RU"/>
        </w:rPr>
        <w:t xml:space="preserve">В результате достаточно высокого уровня </w:t>
      </w:r>
      <w:r w:rsidR="00185828">
        <w:rPr>
          <w:rFonts w:ascii="Century Gothic" w:eastAsia="Times New Roman" w:hAnsi="Century Gothic"/>
          <w:sz w:val="24"/>
          <w:szCs w:val="24"/>
          <w:lang w:eastAsia="ru-RU"/>
        </w:rPr>
        <w:t xml:space="preserve">фактического </w:t>
      </w:r>
      <w:r>
        <w:rPr>
          <w:rFonts w:ascii="Century Gothic" w:eastAsia="Times New Roman" w:hAnsi="Century Gothic"/>
          <w:sz w:val="24"/>
          <w:szCs w:val="24"/>
          <w:lang w:eastAsia="ru-RU"/>
        </w:rPr>
        <w:t xml:space="preserve">финансирования </w:t>
      </w:r>
      <w:r w:rsidR="00F973E5">
        <w:rPr>
          <w:rFonts w:ascii="Century Gothic" w:eastAsia="Times New Roman" w:hAnsi="Century Gothic"/>
          <w:sz w:val="24"/>
          <w:szCs w:val="24"/>
          <w:lang w:eastAsia="ru-RU"/>
        </w:rPr>
        <w:t xml:space="preserve">по сравнению с плановым </w:t>
      </w:r>
      <w:r>
        <w:rPr>
          <w:rFonts w:ascii="Century Gothic" w:eastAsia="Times New Roman" w:hAnsi="Century Gothic"/>
          <w:sz w:val="24"/>
          <w:szCs w:val="24"/>
          <w:lang w:eastAsia="ru-RU"/>
        </w:rPr>
        <w:t>(</w:t>
      </w:r>
      <w:r w:rsidR="00D76919">
        <w:rPr>
          <w:rFonts w:ascii="Century Gothic" w:eastAsia="Times New Roman" w:hAnsi="Century Gothic"/>
          <w:sz w:val="24"/>
          <w:szCs w:val="24"/>
          <w:lang w:eastAsia="ru-RU"/>
        </w:rPr>
        <w:t>9</w:t>
      </w:r>
      <w:r w:rsidR="001458BA">
        <w:rPr>
          <w:rFonts w:ascii="Century Gothic" w:eastAsia="Times New Roman" w:hAnsi="Century Gothic"/>
          <w:sz w:val="24"/>
          <w:szCs w:val="24"/>
          <w:lang w:eastAsia="ru-RU"/>
        </w:rPr>
        <w:t>7,3</w:t>
      </w:r>
      <w:r>
        <w:rPr>
          <w:rFonts w:ascii="Century Gothic" w:eastAsia="Times New Roman" w:hAnsi="Century Gothic"/>
          <w:sz w:val="24"/>
          <w:szCs w:val="24"/>
          <w:lang w:eastAsia="ru-RU"/>
        </w:rPr>
        <w:t>%</w:t>
      </w:r>
      <w:r w:rsidR="00185828">
        <w:rPr>
          <w:rFonts w:ascii="Century Gothic" w:eastAsia="Times New Roman" w:hAnsi="Century Gothic"/>
          <w:sz w:val="24"/>
          <w:szCs w:val="24"/>
          <w:lang w:eastAsia="ru-RU"/>
        </w:rPr>
        <w:t xml:space="preserve"> от планового</w:t>
      </w:r>
      <w:r>
        <w:rPr>
          <w:rFonts w:ascii="Century Gothic" w:eastAsia="Times New Roman" w:hAnsi="Century Gothic"/>
          <w:sz w:val="24"/>
          <w:szCs w:val="24"/>
          <w:lang w:eastAsia="ru-RU"/>
        </w:rPr>
        <w:t>)</w:t>
      </w:r>
      <w:r w:rsidR="00185828">
        <w:rPr>
          <w:rFonts w:ascii="Century Gothic" w:eastAsia="Times New Roman" w:hAnsi="Century Gothic"/>
          <w:sz w:val="24"/>
          <w:szCs w:val="24"/>
          <w:lang w:eastAsia="ru-RU"/>
        </w:rPr>
        <w:t xml:space="preserve"> </w:t>
      </w:r>
      <w:r>
        <w:rPr>
          <w:rFonts w:ascii="Century Gothic" w:eastAsia="Times New Roman" w:hAnsi="Century Gothic"/>
          <w:sz w:val="24"/>
          <w:szCs w:val="24"/>
          <w:lang w:eastAsia="ru-RU"/>
        </w:rPr>
        <w:t>в</w:t>
      </w:r>
      <w:r w:rsidR="008E5675"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 201</w:t>
      </w:r>
      <w:r w:rsidR="001458BA">
        <w:rPr>
          <w:rFonts w:ascii="Century Gothic" w:eastAsia="Times New Roman" w:hAnsi="Century Gothic"/>
          <w:sz w:val="24"/>
          <w:szCs w:val="24"/>
          <w:lang w:eastAsia="ru-RU"/>
        </w:rPr>
        <w:t>8</w:t>
      </w:r>
      <w:r w:rsidR="008E5675" w:rsidRPr="006D6355">
        <w:rPr>
          <w:rFonts w:ascii="Century Gothic" w:eastAsia="Times New Roman" w:hAnsi="Century Gothic"/>
          <w:sz w:val="24"/>
          <w:szCs w:val="24"/>
          <w:lang w:eastAsia="ru-RU"/>
        </w:rPr>
        <w:t>г. из 1</w:t>
      </w:r>
      <w:r w:rsidR="009C5024">
        <w:rPr>
          <w:rFonts w:ascii="Century Gothic" w:eastAsia="Times New Roman" w:hAnsi="Century Gothic"/>
          <w:sz w:val="24"/>
          <w:szCs w:val="24"/>
          <w:lang w:eastAsia="ru-RU"/>
        </w:rPr>
        <w:t>93</w:t>
      </w:r>
      <w:r w:rsidR="008E5675"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 значений плановых показателей индикаторов по всем </w:t>
      </w:r>
      <w:r w:rsidR="008E5675" w:rsidRPr="00BF7164">
        <w:rPr>
          <w:rFonts w:ascii="Century Gothic" w:eastAsia="Times New Roman" w:hAnsi="Century Gothic"/>
          <w:sz w:val="24"/>
          <w:szCs w:val="24"/>
          <w:lang w:eastAsia="ru-RU"/>
        </w:rPr>
        <w:t>программам</w:t>
      </w:r>
      <w:r w:rsidR="00E6224E" w:rsidRPr="00BF7164">
        <w:rPr>
          <w:rFonts w:ascii="Century Gothic" w:eastAsia="Times New Roman" w:hAnsi="Century Gothic"/>
          <w:sz w:val="24"/>
          <w:szCs w:val="24"/>
          <w:lang w:eastAsia="ru-RU"/>
        </w:rPr>
        <w:t xml:space="preserve"> </w:t>
      </w:r>
      <w:r w:rsidR="008E5675" w:rsidRPr="00BF7164">
        <w:rPr>
          <w:rFonts w:ascii="Century Gothic" w:eastAsia="Times New Roman" w:hAnsi="Century Gothic"/>
          <w:sz w:val="24"/>
          <w:szCs w:val="24"/>
          <w:lang w:eastAsia="ru-RU"/>
        </w:rPr>
        <w:t>достигли</w:t>
      </w:r>
      <w:r w:rsidR="00E6224E" w:rsidRPr="00BF7164">
        <w:rPr>
          <w:rFonts w:ascii="Century Gothic" w:eastAsia="Times New Roman" w:hAnsi="Century Gothic"/>
          <w:sz w:val="24"/>
          <w:szCs w:val="24"/>
          <w:lang w:eastAsia="ru-RU"/>
        </w:rPr>
        <w:t xml:space="preserve"> (или </w:t>
      </w:r>
      <w:r w:rsidR="008E5675" w:rsidRPr="00BF7164">
        <w:rPr>
          <w:rFonts w:ascii="Century Gothic" w:eastAsia="Times New Roman" w:hAnsi="Century Gothic"/>
          <w:sz w:val="24"/>
          <w:szCs w:val="24"/>
          <w:lang w:eastAsia="ru-RU"/>
        </w:rPr>
        <w:t>превысили)</w:t>
      </w:r>
      <w:r w:rsidR="00E6224E" w:rsidRPr="00BF7164">
        <w:rPr>
          <w:rFonts w:ascii="Century Gothic" w:eastAsia="Times New Roman" w:hAnsi="Century Gothic"/>
          <w:sz w:val="24"/>
          <w:szCs w:val="24"/>
          <w:lang w:eastAsia="ru-RU"/>
        </w:rPr>
        <w:t xml:space="preserve"> запланированный </w:t>
      </w:r>
      <w:r w:rsidR="008E5675" w:rsidRPr="00BF7164">
        <w:rPr>
          <w:rFonts w:ascii="Century Gothic" w:eastAsia="Times New Roman" w:hAnsi="Century Gothic"/>
          <w:sz w:val="24"/>
          <w:szCs w:val="24"/>
          <w:lang w:eastAsia="ru-RU"/>
        </w:rPr>
        <w:t>уровень</w:t>
      </w:r>
      <w:r w:rsidR="00E6224E" w:rsidRPr="00BF7164">
        <w:rPr>
          <w:rFonts w:ascii="Century Gothic" w:eastAsia="Times New Roman" w:hAnsi="Century Gothic"/>
          <w:sz w:val="24"/>
          <w:szCs w:val="24"/>
          <w:lang w:eastAsia="ru-RU"/>
        </w:rPr>
        <w:t xml:space="preserve"> </w:t>
      </w:r>
      <w:r w:rsidRPr="00BF7164">
        <w:rPr>
          <w:rFonts w:ascii="Century Gothic" w:eastAsia="Times New Roman" w:hAnsi="Century Gothic"/>
          <w:sz w:val="24"/>
          <w:szCs w:val="24"/>
          <w:lang w:eastAsia="ru-RU"/>
        </w:rPr>
        <w:t>1</w:t>
      </w:r>
      <w:r w:rsidR="009C5024">
        <w:rPr>
          <w:rFonts w:ascii="Century Gothic" w:eastAsia="Times New Roman" w:hAnsi="Century Gothic"/>
          <w:sz w:val="24"/>
          <w:szCs w:val="24"/>
          <w:lang w:eastAsia="ru-RU"/>
        </w:rPr>
        <w:t>55</w:t>
      </w:r>
      <w:r w:rsidR="00E6224E" w:rsidRPr="00BF7164">
        <w:rPr>
          <w:rFonts w:ascii="Century Gothic" w:eastAsia="Times New Roman" w:hAnsi="Century Gothic"/>
          <w:sz w:val="24"/>
          <w:szCs w:val="24"/>
          <w:lang w:eastAsia="ru-RU"/>
        </w:rPr>
        <w:t xml:space="preserve"> </w:t>
      </w:r>
      <w:r w:rsidR="008E5675" w:rsidRPr="00BF7164">
        <w:rPr>
          <w:rFonts w:ascii="Century Gothic" w:eastAsia="Times New Roman" w:hAnsi="Century Gothic"/>
          <w:sz w:val="24"/>
          <w:szCs w:val="24"/>
          <w:lang w:eastAsia="ru-RU"/>
        </w:rPr>
        <w:t>индикаторов</w:t>
      </w:r>
      <w:r w:rsidRPr="00BF7164">
        <w:rPr>
          <w:rFonts w:ascii="Century Gothic" w:eastAsia="Times New Roman" w:hAnsi="Century Gothic"/>
          <w:sz w:val="24"/>
          <w:szCs w:val="24"/>
          <w:lang w:eastAsia="ru-RU"/>
        </w:rPr>
        <w:t xml:space="preserve"> (</w:t>
      </w:r>
      <w:r w:rsidR="009C5024">
        <w:rPr>
          <w:rFonts w:ascii="Century Gothic" w:eastAsia="Times New Roman" w:hAnsi="Century Gothic"/>
          <w:sz w:val="24"/>
          <w:szCs w:val="24"/>
          <w:lang w:eastAsia="ru-RU"/>
        </w:rPr>
        <w:t>80,3</w:t>
      </w:r>
      <w:r w:rsidRPr="00BF7164">
        <w:rPr>
          <w:rFonts w:ascii="Century Gothic" w:eastAsia="Times New Roman" w:hAnsi="Century Gothic"/>
          <w:sz w:val="24"/>
          <w:szCs w:val="24"/>
          <w:lang w:eastAsia="ru-RU"/>
        </w:rPr>
        <w:t>%)</w:t>
      </w:r>
      <w:r w:rsidR="00185828" w:rsidRPr="00BF7164">
        <w:rPr>
          <w:rFonts w:ascii="Century Gothic" w:eastAsia="Times New Roman" w:hAnsi="Century Gothic"/>
          <w:sz w:val="24"/>
          <w:szCs w:val="24"/>
          <w:lang w:eastAsia="ru-RU"/>
        </w:rPr>
        <w:t>.</w:t>
      </w:r>
      <w:proofErr w:type="gramEnd"/>
    </w:p>
    <w:p w:rsidR="003E10CB" w:rsidRPr="003E10CB" w:rsidRDefault="003E10CB" w:rsidP="008E5675">
      <w:pPr>
        <w:spacing w:after="0" w:line="240" w:lineRule="auto"/>
        <w:ind w:firstLine="567"/>
        <w:jc w:val="both"/>
        <w:rPr>
          <w:rFonts w:ascii="Century Gothic" w:eastAsia="Times New Roman" w:hAnsi="Century Gothic"/>
          <w:color w:val="FF0000"/>
          <w:sz w:val="24"/>
          <w:szCs w:val="24"/>
          <w:lang w:eastAsia="ru-RU"/>
        </w:rPr>
      </w:pPr>
    </w:p>
    <w:p w:rsidR="008E5675" w:rsidRPr="006D6355" w:rsidRDefault="00976193" w:rsidP="008E5675">
      <w:pPr>
        <w:spacing w:after="0" w:line="240" w:lineRule="auto"/>
        <w:ind w:firstLine="567"/>
        <w:jc w:val="both"/>
        <w:rPr>
          <w:rFonts w:ascii="Century Gothic" w:eastAsia="Times New Roman" w:hAnsi="Century Gothic"/>
          <w:bCs/>
          <w:sz w:val="24"/>
          <w:szCs w:val="24"/>
          <w:lang w:eastAsia="ru-RU"/>
        </w:rPr>
      </w:pPr>
      <w:r>
        <w:rPr>
          <w:rFonts w:ascii="Century Gothic" w:eastAsia="Times New Roman" w:hAnsi="Century Gothic"/>
          <w:sz w:val="24"/>
          <w:szCs w:val="24"/>
          <w:lang w:eastAsia="ru-RU"/>
        </w:rPr>
        <w:t xml:space="preserve">Степень достижения всех индикаторов </w:t>
      </w:r>
      <w:r w:rsidR="00F973E5">
        <w:rPr>
          <w:rFonts w:ascii="Century Gothic" w:eastAsia="Times New Roman" w:hAnsi="Century Gothic"/>
          <w:sz w:val="24"/>
          <w:szCs w:val="24"/>
          <w:lang w:eastAsia="ru-RU"/>
        </w:rPr>
        <w:t xml:space="preserve">МП и ВЦП </w:t>
      </w:r>
      <w:r>
        <w:rPr>
          <w:rFonts w:ascii="Century Gothic" w:eastAsia="Times New Roman" w:hAnsi="Century Gothic"/>
          <w:sz w:val="24"/>
          <w:szCs w:val="24"/>
          <w:lang w:eastAsia="ru-RU"/>
        </w:rPr>
        <w:t xml:space="preserve">по каждой программе представлена в Приложении </w:t>
      </w:r>
      <w:r w:rsidR="00D76919">
        <w:rPr>
          <w:rFonts w:ascii="Century Gothic" w:eastAsia="Times New Roman" w:hAnsi="Century Gothic"/>
          <w:sz w:val="24"/>
          <w:szCs w:val="24"/>
          <w:lang w:eastAsia="ru-RU"/>
        </w:rPr>
        <w:t>4</w:t>
      </w:r>
      <w:r>
        <w:rPr>
          <w:rFonts w:ascii="Century Gothic" w:eastAsia="Times New Roman" w:hAnsi="Century Gothic"/>
          <w:sz w:val="24"/>
          <w:szCs w:val="24"/>
          <w:lang w:eastAsia="ru-RU"/>
        </w:rPr>
        <w:t>.</w:t>
      </w:r>
    </w:p>
    <w:p w:rsidR="00902946" w:rsidRDefault="00902946" w:rsidP="008E5675">
      <w:pPr>
        <w:spacing w:after="0" w:line="240" w:lineRule="auto"/>
        <w:ind w:firstLine="567"/>
        <w:jc w:val="both"/>
        <w:rPr>
          <w:rFonts w:ascii="Century Gothic" w:eastAsia="Times New Roman" w:hAnsi="Century Gothic"/>
          <w:b/>
          <w:color w:val="000000"/>
          <w:sz w:val="24"/>
          <w:szCs w:val="24"/>
          <w:lang w:eastAsia="ru-RU"/>
        </w:rPr>
      </w:pPr>
    </w:p>
    <w:p w:rsidR="008E5675" w:rsidRPr="0084493B" w:rsidRDefault="008E5675" w:rsidP="008E5675">
      <w:pPr>
        <w:spacing w:after="0" w:line="240" w:lineRule="auto"/>
        <w:ind w:firstLine="567"/>
        <w:jc w:val="both"/>
        <w:rPr>
          <w:rFonts w:ascii="Century Gothic" w:eastAsia="Times New Roman" w:hAnsi="Century Gothic"/>
          <w:b/>
          <w:color w:val="000000"/>
          <w:sz w:val="24"/>
          <w:szCs w:val="24"/>
          <w:lang w:eastAsia="ru-RU"/>
        </w:rPr>
      </w:pPr>
      <w:r w:rsidRPr="0084493B">
        <w:rPr>
          <w:rFonts w:ascii="Century Gothic" w:eastAsia="Times New Roman" w:hAnsi="Century Gothic"/>
          <w:b/>
          <w:color w:val="000000"/>
          <w:sz w:val="24"/>
          <w:szCs w:val="24"/>
          <w:lang w:eastAsia="ru-RU"/>
        </w:rPr>
        <w:t>Выводы и предложения по результатам анализа реализации программ:</w:t>
      </w:r>
    </w:p>
    <w:p w:rsidR="008E5675" w:rsidRPr="0084493B" w:rsidRDefault="008E5675" w:rsidP="008E5675">
      <w:pPr>
        <w:spacing w:after="0" w:line="240" w:lineRule="auto"/>
        <w:ind w:firstLine="567"/>
        <w:jc w:val="both"/>
        <w:rPr>
          <w:rFonts w:ascii="Century Gothic" w:eastAsia="Times New Roman" w:hAnsi="Century Gothic"/>
          <w:i/>
          <w:color w:val="000000"/>
          <w:sz w:val="24"/>
          <w:szCs w:val="24"/>
          <w:lang w:eastAsia="ru-RU"/>
        </w:rPr>
      </w:pPr>
      <w:r w:rsidRPr="0084493B">
        <w:rPr>
          <w:rFonts w:ascii="Century Gothic" w:eastAsia="Times New Roman" w:hAnsi="Century Gothic"/>
          <w:i/>
          <w:color w:val="000000"/>
          <w:sz w:val="24"/>
          <w:szCs w:val="24"/>
          <w:lang w:eastAsia="ru-RU"/>
        </w:rPr>
        <w:t>Общие выводы и предложения:</w:t>
      </w:r>
    </w:p>
    <w:p w:rsidR="00E1504B" w:rsidRPr="0084493B" w:rsidRDefault="008E5675" w:rsidP="00E1504B">
      <w:pPr>
        <w:spacing w:after="0" w:line="240" w:lineRule="auto"/>
        <w:ind w:firstLine="567"/>
        <w:jc w:val="both"/>
        <w:rPr>
          <w:rFonts w:ascii="Century Gothic" w:eastAsia="Times New Roman" w:hAnsi="Century Gothic"/>
          <w:color w:val="000000"/>
          <w:sz w:val="24"/>
          <w:szCs w:val="24"/>
          <w:lang w:eastAsia="ru-RU"/>
        </w:rPr>
      </w:pPr>
      <w:r w:rsidRPr="0084493B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>1.</w:t>
      </w:r>
      <w:r w:rsidR="00E1504B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 xml:space="preserve"> </w:t>
      </w:r>
      <w:r w:rsidR="00E1504B" w:rsidRPr="0084493B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>В 201</w:t>
      </w:r>
      <w:r w:rsidR="00E1504B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>8</w:t>
      </w:r>
      <w:r w:rsidR="00E1504B" w:rsidRPr="0084493B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 xml:space="preserve"> году </w:t>
      </w:r>
      <w:r w:rsidR="00E1504B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 xml:space="preserve">фиксируется 3%-ный (в 2017г.-2%) разрыв между запланированными в уточненном бюджете ассигнованиями и фактическим </w:t>
      </w:r>
      <w:r w:rsidR="00E1504B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lastRenderedPageBreak/>
        <w:t>финансированием программ, что позволяет сделать вывод о повышении уровня планирования и улучшении его реалистичности, о приведении системы мероприятий программ в большее соответствие с реальными возможностями бюджета городского округа.</w:t>
      </w:r>
    </w:p>
    <w:p w:rsidR="008E5675" w:rsidRPr="0084493B" w:rsidRDefault="00B93F5F" w:rsidP="008E5675">
      <w:pPr>
        <w:spacing w:after="0" w:line="240" w:lineRule="auto"/>
        <w:ind w:firstLine="567"/>
        <w:jc w:val="both"/>
        <w:rPr>
          <w:rFonts w:ascii="Century Gothic" w:eastAsia="Times New Roman" w:hAnsi="Century Gothic"/>
          <w:color w:val="000000"/>
          <w:sz w:val="24"/>
          <w:szCs w:val="24"/>
          <w:lang w:eastAsia="ru-RU"/>
        </w:rPr>
      </w:pPr>
      <w:r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>2</w:t>
      </w:r>
      <w:r w:rsidR="008E5675" w:rsidRPr="0084493B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 xml:space="preserve">. </w:t>
      </w:r>
      <w:r w:rsidRPr="00E1504B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>Коэффициент</w:t>
      </w:r>
      <w:r w:rsidR="008E5675" w:rsidRPr="00E1504B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 xml:space="preserve"> привлечен</w:t>
      </w:r>
      <w:r w:rsidRPr="00E1504B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>ия</w:t>
      </w:r>
      <w:r w:rsidR="008E5675" w:rsidRPr="00E1504B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 xml:space="preserve"> средств из </w:t>
      </w:r>
      <w:r w:rsidRPr="00E1504B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 xml:space="preserve">вышестоящих бюджетов составил </w:t>
      </w:r>
      <w:r w:rsidR="009C5024" w:rsidRPr="00E1504B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>2,25</w:t>
      </w:r>
      <w:r w:rsidR="008E5675" w:rsidRPr="00E1504B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>, что говорит о</w:t>
      </w:r>
      <w:r w:rsidR="00FF553A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>б</w:t>
      </w:r>
      <w:r w:rsidR="003E10CB" w:rsidRPr="00E1504B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 xml:space="preserve"> </w:t>
      </w:r>
      <w:r w:rsidR="00E1504B" w:rsidRPr="00E1504B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>усугубляющейся тенденции</w:t>
      </w:r>
      <w:r w:rsidR="008E5675" w:rsidRPr="00E1504B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 xml:space="preserve"> </w:t>
      </w:r>
      <w:r w:rsidRPr="00E1504B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>снижени</w:t>
      </w:r>
      <w:r w:rsidR="00E1504B" w:rsidRPr="00E1504B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>я</w:t>
      </w:r>
      <w:r w:rsidR="00B101D6" w:rsidRPr="00E1504B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 xml:space="preserve"> </w:t>
      </w:r>
      <w:r w:rsidRPr="00E1504B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>самостоятельности городского бюджета, снижении возможностей для принятия управленческих решений</w:t>
      </w:r>
      <w:r w:rsidR="00B101D6" w:rsidRPr="00E1504B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 xml:space="preserve"> именно орг</w:t>
      </w:r>
      <w:r w:rsidR="009C5024" w:rsidRPr="00E1504B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>а</w:t>
      </w:r>
      <w:r w:rsidR="00B101D6" w:rsidRPr="00E1504B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>нами местного самоуправления</w:t>
      </w:r>
      <w:r w:rsidR="00FF553A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>. Вместе с тем, рост показателя обусловлен привлечением в 2018 году существенных объемов дополнительных средств из вышестоящих бюджетов для строительства и ремонта объектов муниципальной коммунальной и социальной инфраструктуры.</w:t>
      </w:r>
    </w:p>
    <w:p w:rsidR="004162AC" w:rsidRDefault="00424011" w:rsidP="008E5675">
      <w:pPr>
        <w:spacing w:after="0" w:line="240" w:lineRule="auto"/>
        <w:ind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>3</w:t>
      </w:r>
      <w:r w:rsidR="008E5675" w:rsidRPr="0084493B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 xml:space="preserve">. Основными критериями методики оценки эффективности </w:t>
      </w:r>
      <w:r w:rsidR="00D434F9" w:rsidRPr="0084493B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>М</w:t>
      </w:r>
      <w:r w:rsidR="008E5675" w:rsidRPr="0084493B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 xml:space="preserve">П являются выполнение запланированных мероприятий и уровень финансового обеспечения </w:t>
      </w:r>
      <w:r w:rsidR="00D434F9" w:rsidRPr="0084493B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>М</w:t>
      </w:r>
      <w:r w:rsidR="008E5675" w:rsidRPr="0084493B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 xml:space="preserve">П. </w:t>
      </w:r>
      <w:r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>В 201</w:t>
      </w:r>
      <w:r w:rsidR="009C5024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>8</w:t>
      </w:r>
      <w:r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 xml:space="preserve"> году как и </w:t>
      </w:r>
      <w:r w:rsidR="00E1504B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>ранее,</w:t>
      </w:r>
      <w:r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 xml:space="preserve"> в</w:t>
      </w:r>
      <w:r w:rsidR="008E5675" w:rsidRPr="0084493B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 xml:space="preserve">ысокие оценки по этим критериям получают, как правило, программы, разработка и реализация которых является одним из условий </w:t>
      </w:r>
      <w:r w:rsidR="008E5675" w:rsidRPr="0084493B">
        <w:rPr>
          <w:rFonts w:ascii="Century Gothic" w:eastAsia="Times New Roman" w:hAnsi="Century Gothic"/>
          <w:sz w:val="24"/>
          <w:szCs w:val="24"/>
          <w:lang w:eastAsia="ru-RU"/>
        </w:rPr>
        <w:t>обязательного софинансирования к средствам вышестоящих бюджетов. Программы без софинансирования реализуются в основном по «остаточному» принципу.</w:t>
      </w:r>
      <w:r w:rsidR="004162AC">
        <w:rPr>
          <w:rFonts w:ascii="Century Gothic" w:eastAsia="Times New Roman" w:hAnsi="Century Gothic"/>
          <w:sz w:val="24"/>
          <w:szCs w:val="24"/>
          <w:lang w:eastAsia="ru-RU"/>
        </w:rPr>
        <w:t xml:space="preserve"> </w:t>
      </w:r>
    </w:p>
    <w:p w:rsidR="008E5675" w:rsidRPr="0084493B" w:rsidRDefault="00E64D57" w:rsidP="008E5675">
      <w:pPr>
        <w:spacing w:after="0" w:line="240" w:lineRule="auto"/>
        <w:ind w:firstLine="567"/>
        <w:jc w:val="both"/>
        <w:rPr>
          <w:rFonts w:ascii="Century Gothic" w:eastAsia="Times New Roman" w:hAnsi="Century Gothic"/>
          <w:b/>
          <w:color w:val="000000"/>
          <w:sz w:val="24"/>
          <w:szCs w:val="24"/>
          <w:lang w:eastAsia="ru-RU"/>
        </w:rPr>
      </w:pPr>
      <w:r>
        <w:rPr>
          <w:rFonts w:ascii="Century Gothic" w:eastAsia="Times New Roman" w:hAnsi="Century Gothic"/>
          <w:sz w:val="24"/>
          <w:szCs w:val="24"/>
          <w:lang w:eastAsia="ru-RU"/>
        </w:rPr>
        <w:t>Достижение р</w:t>
      </w:r>
      <w:r w:rsidR="004162AC">
        <w:rPr>
          <w:rFonts w:ascii="Century Gothic" w:eastAsia="Times New Roman" w:hAnsi="Century Gothic"/>
          <w:sz w:val="24"/>
          <w:szCs w:val="24"/>
          <w:lang w:eastAsia="ru-RU"/>
        </w:rPr>
        <w:t>яд</w:t>
      </w:r>
      <w:r>
        <w:rPr>
          <w:rFonts w:ascii="Century Gothic" w:eastAsia="Times New Roman" w:hAnsi="Century Gothic"/>
          <w:sz w:val="24"/>
          <w:szCs w:val="24"/>
          <w:lang w:eastAsia="ru-RU"/>
        </w:rPr>
        <w:t>а</w:t>
      </w:r>
      <w:r w:rsidR="004162AC">
        <w:rPr>
          <w:rFonts w:ascii="Century Gothic" w:eastAsia="Times New Roman" w:hAnsi="Century Gothic"/>
          <w:sz w:val="24"/>
          <w:szCs w:val="24"/>
          <w:lang w:eastAsia="ru-RU"/>
        </w:rPr>
        <w:t xml:space="preserve"> принятых в </w:t>
      </w:r>
      <w:r>
        <w:rPr>
          <w:rFonts w:ascii="Century Gothic" w:eastAsia="Times New Roman" w:hAnsi="Century Gothic"/>
          <w:sz w:val="24"/>
          <w:szCs w:val="24"/>
          <w:lang w:eastAsia="ru-RU"/>
        </w:rPr>
        <w:t xml:space="preserve">программах </w:t>
      </w:r>
      <w:r w:rsidR="004162AC">
        <w:rPr>
          <w:rFonts w:ascii="Century Gothic" w:eastAsia="Times New Roman" w:hAnsi="Century Gothic"/>
          <w:sz w:val="24"/>
          <w:szCs w:val="24"/>
          <w:lang w:eastAsia="ru-RU"/>
        </w:rPr>
        <w:t>индикаторов</w:t>
      </w:r>
      <w:r>
        <w:rPr>
          <w:rFonts w:ascii="Century Gothic" w:eastAsia="Times New Roman" w:hAnsi="Century Gothic"/>
          <w:sz w:val="24"/>
          <w:szCs w:val="24"/>
          <w:lang w:eastAsia="ru-RU"/>
        </w:rPr>
        <w:t xml:space="preserve"> </w:t>
      </w:r>
      <w:r w:rsidR="00B101D6">
        <w:rPr>
          <w:rFonts w:ascii="Century Gothic" w:eastAsia="Times New Roman" w:hAnsi="Century Gothic"/>
          <w:sz w:val="24"/>
          <w:szCs w:val="24"/>
          <w:lang w:eastAsia="ru-RU"/>
        </w:rPr>
        <w:t xml:space="preserve">лишь </w:t>
      </w:r>
      <w:r>
        <w:rPr>
          <w:rFonts w:ascii="Century Gothic" w:eastAsia="Times New Roman" w:hAnsi="Century Gothic"/>
          <w:sz w:val="24"/>
          <w:szCs w:val="24"/>
          <w:lang w:eastAsia="ru-RU"/>
        </w:rPr>
        <w:t>косвенно зависит от выполнения мероприятий программ.</w:t>
      </w:r>
    </w:p>
    <w:p w:rsidR="00264BCF" w:rsidRDefault="00424011" w:rsidP="008E5675">
      <w:pPr>
        <w:spacing w:after="0" w:line="240" w:lineRule="auto"/>
        <w:ind w:firstLine="567"/>
        <w:jc w:val="both"/>
        <w:rPr>
          <w:rFonts w:ascii="Century Gothic" w:eastAsia="Times New Roman" w:hAnsi="Century Gothic"/>
          <w:color w:val="000000"/>
          <w:sz w:val="24"/>
          <w:szCs w:val="24"/>
          <w:lang w:eastAsia="ru-RU"/>
        </w:rPr>
      </w:pPr>
      <w:r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>4</w:t>
      </w:r>
      <w:r w:rsidR="008E5675" w:rsidRPr="0084493B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 xml:space="preserve">. </w:t>
      </w:r>
      <w:r w:rsidR="00B101D6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>Отсутствие с 201</w:t>
      </w:r>
      <w:r w:rsidR="009C5024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>8</w:t>
      </w:r>
      <w:r w:rsidR="00B101D6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 xml:space="preserve"> году низкоэффективных и неэффективных программ связано в первую очередь с тем, что программы проходили уточнения в соответствии с уточнениями бюджета городского округа в пределах отчетного периода.</w:t>
      </w:r>
    </w:p>
    <w:p w:rsidR="008E5675" w:rsidRDefault="00264BCF" w:rsidP="008E5675">
      <w:pPr>
        <w:spacing w:after="0" w:line="240" w:lineRule="auto"/>
        <w:ind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>
        <w:rPr>
          <w:rFonts w:ascii="Century Gothic" w:eastAsia="Times New Roman" w:hAnsi="Century Gothic"/>
          <w:sz w:val="24"/>
          <w:szCs w:val="24"/>
          <w:lang w:eastAsia="ru-RU"/>
        </w:rPr>
        <w:t>5</w:t>
      </w:r>
      <w:r w:rsidR="008E5675" w:rsidRPr="0084493B">
        <w:rPr>
          <w:rFonts w:ascii="Century Gothic" w:eastAsia="Times New Roman" w:hAnsi="Century Gothic"/>
          <w:sz w:val="24"/>
          <w:szCs w:val="24"/>
          <w:lang w:eastAsia="ru-RU"/>
        </w:rPr>
        <w:t>. В целях повышения эффективности реализации программ в следующем плановом периоде необходимо:</w:t>
      </w:r>
    </w:p>
    <w:p w:rsidR="00FC1277" w:rsidRDefault="00FC1277" w:rsidP="008E5675">
      <w:pPr>
        <w:spacing w:after="0" w:line="240" w:lineRule="auto"/>
        <w:ind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>
        <w:rPr>
          <w:rFonts w:ascii="Century Gothic" w:eastAsia="Times New Roman" w:hAnsi="Century Gothic"/>
          <w:sz w:val="24"/>
          <w:szCs w:val="24"/>
          <w:lang w:eastAsia="ru-RU"/>
        </w:rPr>
        <w:t>5.1. ответственным исполнителям программ своевременно приводить программы в соответствие с утвержденным бюджетом городского округа и изменениями, вносимыми в него;</w:t>
      </w:r>
    </w:p>
    <w:p w:rsidR="00FC1277" w:rsidRPr="0084493B" w:rsidRDefault="00FC1277" w:rsidP="008E5675">
      <w:pPr>
        <w:spacing w:after="0" w:line="240" w:lineRule="auto"/>
        <w:ind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>
        <w:rPr>
          <w:rFonts w:ascii="Century Gothic" w:eastAsia="Times New Roman" w:hAnsi="Century Gothic"/>
          <w:sz w:val="24"/>
          <w:szCs w:val="24"/>
          <w:lang w:eastAsia="ru-RU"/>
        </w:rPr>
        <w:t>5.2. ответственным исполнителям программ предоставлять в управление экономического развития и инвестиций максимально точную отчетную информацию по фактическому финансированию мероприятий программ, соответствующую отчетной информации, предоставляемой в департамент финансов;</w:t>
      </w:r>
    </w:p>
    <w:p w:rsidR="00264BCF" w:rsidRDefault="00264BCF" w:rsidP="008E5675">
      <w:pPr>
        <w:spacing w:after="0" w:line="240" w:lineRule="auto"/>
        <w:ind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>
        <w:rPr>
          <w:rFonts w:ascii="Century Gothic" w:eastAsia="Times New Roman" w:hAnsi="Century Gothic"/>
          <w:sz w:val="24"/>
          <w:szCs w:val="24"/>
          <w:lang w:eastAsia="ru-RU"/>
        </w:rPr>
        <w:t>5.</w:t>
      </w:r>
      <w:r w:rsidR="00FC1277">
        <w:rPr>
          <w:rFonts w:ascii="Century Gothic" w:eastAsia="Times New Roman" w:hAnsi="Century Gothic"/>
          <w:sz w:val="24"/>
          <w:szCs w:val="24"/>
          <w:lang w:eastAsia="ru-RU"/>
        </w:rPr>
        <w:t>3</w:t>
      </w:r>
      <w:r>
        <w:rPr>
          <w:rFonts w:ascii="Century Gothic" w:eastAsia="Times New Roman" w:hAnsi="Century Gothic"/>
          <w:sz w:val="24"/>
          <w:szCs w:val="24"/>
          <w:lang w:eastAsia="ru-RU"/>
        </w:rPr>
        <w:t>. реализовать в программном планировании принцип «скользящей трехлетки», когда программы в каждом новом текущем периоде перерабатываются и утверждаются на плановый трехлетний период бюджета городского округа;</w:t>
      </w:r>
    </w:p>
    <w:p w:rsidR="00385140" w:rsidRDefault="001F0333" w:rsidP="001F0333">
      <w:pPr>
        <w:spacing w:after="0" w:line="240" w:lineRule="auto"/>
        <w:ind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>
        <w:rPr>
          <w:rFonts w:ascii="Century Gothic" w:eastAsia="Times New Roman" w:hAnsi="Century Gothic"/>
          <w:sz w:val="24"/>
          <w:szCs w:val="24"/>
          <w:lang w:eastAsia="ru-RU"/>
        </w:rPr>
        <w:t>5</w:t>
      </w:r>
      <w:r w:rsidRPr="0084493B">
        <w:rPr>
          <w:rFonts w:ascii="Century Gothic" w:eastAsia="Times New Roman" w:hAnsi="Century Gothic"/>
          <w:sz w:val="24"/>
          <w:szCs w:val="24"/>
          <w:lang w:eastAsia="ru-RU"/>
        </w:rPr>
        <w:t>.</w:t>
      </w:r>
      <w:r w:rsidR="00FC1277">
        <w:rPr>
          <w:rFonts w:ascii="Century Gothic" w:eastAsia="Times New Roman" w:hAnsi="Century Gothic"/>
          <w:sz w:val="24"/>
          <w:szCs w:val="24"/>
          <w:lang w:eastAsia="ru-RU"/>
        </w:rPr>
        <w:t>4</w:t>
      </w:r>
      <w:r w:rsidRPr="0084493B">
        <w:rPr>
          <w:rFonts w:ascii="Century Gothic" w:eastAsia="Times New Roman" w:hAnsi="Century Gothic"/>
          <w:sz w:val="24"/>
          <w:szCs w:val="24"/>
          <w:lang w:eastAsia="ru-RU"/>
        </w:rPr>
        <w:t xml:space="preserve">. </w:t>
      </w:r>
      <w:r w:rsidR="00385140">
        <w:rPr>
          <w:rFonts w:ascii="Century Gothic" w:eastAsia="Times New Roman" w:hAnsi="Century Gothic"/>
          <w:sz w:val="24"/>
          <w:szCs w:val="24"/>
          <w:lang w:eastAsia="ru-RU"/>
        </w:rPr>
        <w:t>в</w:t>
      </w:r>
      <w:r>
        <w:rPr>
          <w:rFonts w:ascii="Century Gothic" w:eastAsia="Times New Roman" w:hAnsi="Century Gothic"/>
          <w:sz w:val="24"/>
          <w:szCs w:val="24"/>
          <w:lang w:eastAsia="ru-RU"/>
        </w:rPr>
        <w:t xml:space="preserve"> 201</w:t>
      </w:r>
      <w:r w:rsidR="003E10CB">
        <w:rPr>
          <w:rFonts w:ascii="Century Gothic" w:eastAsia="Times New Roman" w:hAnsi="Century Gothic"/>
          <w:sz w:val="24"/>
          <w:szCs w:val="24"/>
          <w:lang w:eastAsia="ru-RU"/>
        </w:rPr>
        <w:t>9</w:t>
      </w:r>
      <w:r>
        <w:rPr>
          <w:rFonts w:ascii="Century Gothic" w:eastAsia="Times New Roman" w:hAnsi="Century Gothic"/>
          <w:sz w:val="24"/>
          <w:szCs w:val="24"/>
          <w:lang w:eastAsia="ru-RU"/>
        </w:rPr>
        <w:t xml:space="preserve"> году </w:t>
      </w:r>
      <w:r w:rsidR="00B101D6">
        <w:rPr>
          <w:rFonts w:ascii="Century Gothic" w:eastAsia="Times New Roman" w:hAnsi="Century Gothic"/>
          <w:sz w:val="24"/>
          <w:szCs w:val="24"/>
          <w:lang w:eastAsia="ru-RU"/>
        </w:rPr>
        <w:t>планировать</w:t>
      </w:r>
      <w:r w:rsidRPr="0084493B">
        <w:rPr>
          <w:rFonts w:ascii="Century Gothic" w:eastAsia="Times New Roman" w:hAnsi="Century Gothic"/>
          <w:sz w:val="24"/>
          <w:szCs w:val="24"/>
          <w:lang w:eastAsia="ru-RU"/>
        </w:rPr>
        <w:t xml:space="preserve"> </w:t>
      </w:r>
      <w:r>
        <w:rPr>
          <w:rFonts w:ascii="Century Gothic" w:eastAsia="Times New Roman" w:hAnsi="Century Gothic"/>
          <w:sz w:val="24"/>
          <w:szCs w:val="24"/>
          <w:lang w:eastAsia="ru-RU"/>
        </w:rPr>
        <w:t xml:space="preserve">индикаторы программ, </w:t>
      </w:r>
      <w:r w:rsidR="00B101D6">
        <w:rPr>
          <w:rFonts w:ascii="Century Gothic" w:eastAsia="Times New Roman" w:hAnsi="Century Gothic"/>
          <w:sz w:val="24"/>
          <w:szCs w:val="24"/>
          <w:lang w:eastAsia="ru-RU"/>
        </w:rPr>
        <w:t xml:space="preserve">с одной стороны максимально </w:t>
      </w:r>
      <w:r>
        <w:rPr>
          <w:rFonts w:ascii="Century Gothic" w:eastAsia="Times New Roman" w:hAnsi="Century Gothic"/>
          <w:sz w:val="24"/>
          <w:szCs w:val="24"/>
          <w:lang w:eastAsia="ru-RU"/>
        </w:rPr>
        <w:t xml:space="preserve">приведя их в соответствие </w:t>
      </w:r>
      <w:r w:rsidR="00AC47D8">
        <w:rPr>
          <w:rFonts w:ascii="Century Gothic" w:eastAsia="Times New Roman" w:hAnsi="Century Gothic"/>
          <w:sz w:val="24"/>
          <w:szCs w:val="24"/>
          <w:lang w:eastAsia="ru-RU"/>
        </w:rPr>
        <w:t xml:space="preserve">с индикаторами </w:t>
      </w:r>
      <w:r w:rsidR="00E15BE5">
        <w:rPr>
          <w:rFonts w:ascii="Century Gothic" w:eastAsia="Times New Roman" w:hAnsi="Century Gothic"/>
          <w:sz w:val="24"/>
          <w:szCs w:val="24"/>
          <w:lang w:eastAsia="ru-RU"/>
        </w:rPr>
        <w:t>Стратегии</w:t>
      </w:r>
      <w:r w:rsidR="00AC47D8">
        <w:rPr>
          <w:rFonts w:ascii="Century Gothic" w:eastAsia="Times New Roman" w:hAnsi="Century Gothic"/>
          <w:sz w:val="24"/>
          <w:szCs w:val="24"/>
          <w:lang w:eastAsia="ru-RU"/>
        </w:rPr>
        <w:t xml:space="preserve"> </w:t>
      </w:r>
      <w:r w:rsidRPr="0084493B">
        <w:rPr>
          <w:rFonts w:ascii="Century Gothic" w:eastAsia="Times New Roman" w:hAnsi="Century Gothic"/>
          <w:sz w:val="24"/>
          <w:szCs w:val="24"/>
          <w:lang w:eastAsia="ru-RU"/>
        </w:rPr>
        <w:t>социально-экономического развития городского округа</w:t>
      </w:r>
      <w:r w:rsidR="00AC47D8">
        <w:rPr>
          <w:rFonts w:ascii="Century Gothic" w:eastAsia="Times New Roman" w:hAnsi="Century Gothic"/>
          <w:sz w:val="24"/>
          <w:szCs w:val="24"/>
          <w:lang w:eastAsia="ru-RU"/>
        </w:rPr>
        <w:t>,</w:t>
      </w:r>
      <w:r w:rsidR="00385140">
        <w:rPr>
          <w:rFonts w:ascii="Century Gothic" w:eastAsia="Times New Roman" w:hAnsi="Century Gothic"/>
          <w:sz w:val="24"/>
          <w:szCs w:val="24"/>
          <w:lang w:eastAsia="ru-RU"/>
        </w:rPr>
        <w:t xml:space="preserve"> с другой стороны в планировании индикаторов исходить из </w:t>
      </w:r>
      <w:proofErr w:type="gramStart"/>
      <w:r w:rsidR="00385140">
        <w:rPr>
          <w:rFonts w:ascii="Century Gothic" w:eastAsia="Times New Roman" w:hAnsi="Century Gothic"/>
          <w:sz w:val="24"/>
          <w:szCs w:val="24"/>
          <w:lang w:eastAsia="ru-RU"/>
        </w:rPr>
        <w:t>реалистичных возможностей</w:t>
      </w:r>
      <w:proofErr w:type="gramEnd"/>
      <w:r w:rsidR="00385140">
        <w:rPr>
          <w:rFonts w:ascii="Century Gothic" w:eastAsia="Times New Roman" w:hAnsi="Century Gothic"/>
          <w:sz w:val="24"/>
          <w:szCs w:val="24"/>
          <w:lang w:eastAsia="ru-RU"/>
        </w:rPr>
        <w:t xml:space="preserve"> финансирования бюджета городского округа.</w:t>
      </w:r>
    </w:p>
    <w:p w:rsidR="00385140" w:rsidRPr="0084493B" w:rsidRDefault="00385140" w:rsidP="00385140">
      <w:pPr>
        <w:spacing w:after="0" w:line="240" w:lineRule="auto"/>
        <w:ind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>
        <w:rPr>
          <w:rFonts w:ascii="Century Gothic" w:eastAsia="Times New Roman" w:hAnsi="Century Gothic"/>
          <w:sz w:val="24"/>
          <w:szCs w:val="24"/>
          <w:lang w:eastAsia="ru-RU"/>
        </w:rPr>
        <w:t>5</w:t>
      </w:r>
      <w:r w:rsidRPr="0084493B">
        <w:rPr>
          <w:rFonts w:ascii="Century Gothic" w:eastAsia="Times New Roman" w:hAnsi="Century Gothic"/>
          <w:sz w:val="24"/>
          <w:szCs w:val="24"/>
          <w:lang w:eastAsia="ru-RU"/>
        </w:rPr>
        <w:t>.</w:t>
      </w:r>
      <w:r>
        <w:rPr>
          <w:rFonts w:ascii="Century Gothic" w:eastAsia="Times New Roman" w:hAnsi="Century Gothic"/>
          <w:sz w:val="24"/>
          <w:szCs w:val="24"/>
          <w:lang w:eastAsia="ru-RU"/>
        </w:rPr>
        <w:t>5</w:t>
      </w:r>
      <w:r w:rsidRPr="0084493B">
        <w:rPr>
          <w:rFonts w:ascii="Century Gothic" w:eastAsia="Times New Roman" w:hAnsi="Century Gothic"/>
          <w:sz w:val="24"/>
          <w:szCs w:val="24"/>
          <w:lang w:eastAsia="ru-RU"/>
        </w:rPr>
        <w:t xml:space="preserve">. формулировать индикаторы программ таким образом, чтобы они: </w:t>
      </w:r>
    </w:p>
    <w:p w:rsidR="00385140" w:rsidRPr="0084493B" w:rsidRDefault="00385140" w:rsidP="00385140">
      <w:pPr>
        <w:spacing w:after="0" w:line="240" w:lineRule="auto"/>
        <w:ind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 w:rsidRPr="0084493B">
        <w:rPr>
          <w:rFonts w:ascii="Century Gothic" w:eastAsia="Times New Roman" w:hAnsi="Century Gothic"/>
          <w:sz w:val="24"/>
          <w:szCs w:val="24"/>
          <w:lang w:eastAsia="ru-RU"/>
        </w:rPr>
        <w:t xml:space="preserve">а) максимально объективно отражали динамику </w:t>
      </w:r>
      <w:r>
        <w:rPr>
          <w:rFonts w:ascii="Century Gothic" w:eastAsia="Times New Roman" w:hAnsi="Century Gothic"/>
          <w:sz w:val="24"/>
          <w:szCs w:val="24"/>
          <w:lang w:eastAsia="ru-RU"/>
        </w:rPr>
        <w:t xml:space="preserve">конкретных </w:t>
      </w:r>
      <w:r w:rsidRPr="0084493B">
        <w:rPr>
          <w:rFonts w:ascii="Century Gothic" w:eastAsia="Times New Roman" w:hAnsi="Century Gothic"/>
          <w:sz w:val="24"/>
          <w:szCs w:val="24"/>
          <w:lang w:eastAsia="ru-RU"/>
        </w:rPr>
        <w:t xml:space="preserve">улучшений социально-экономического состояния в сфере реализации программы, </w:t>
      </w:r>
    </w:p>
    <w:p w:rsidR="00385140" w:rsidRPr="0084493B" w:rsidRDefault="00385140" w:rsidP="00385140">
      <w:pPr>
        <w:spacing w:after="0" w:line="240" w:lineRule="auto"/>
        <w:ind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proofErr w:type="gramStart"/>
      <w:r w:rsidRPr="0084493B">
        <w:rPr>
          <w:rFonts w:ascii="Century Gothic" w:eastAsia="Times New Roman" w:hAnsi="Century Gothic"/>
          <w:sz w:val="24"/>
          <w:szCs w:val="24"/>
          <w:lang w:eastAsia="ru-RU"/>
        </w:rPr>
        <w:t xml:space="preserve">б) максимально соответствовали набору показателей оценки эффективности деятельности органов местного самоуправления, иных </w:t>
      </w:r>
      <w:r w:rsidRPr="0084493B">
        <w:rPr>
          <w:rFonts w:ascii="Century Gothic" w:eastAsia="Times New Roman" w:hAnsi="Century Gothic"/>
          <w:sz w:val="24"/>
          <w:szCs w:val="24"/>
          <w:lang w:eastAsia="ru-RU"/>
        </w:rPr>
        <w:lastRenderedPageBreak/>
        <w:t>федеральных, региональных, отраслевых показателей (Указ Президента Российской Федерации от 28.04.2008 №607 «Об оценке эффективности деятельности органов местного самоуправления городских округов и муниципальных районов», Указ Президента Российской Федерац</w:t>
      </w:r>
      <w:r>
        <w:rPr>
          <w:rFonts w:ascii="Century Gothic" w:eastAsia="Times New Roman" w:hAnsi="Century Gothic"/>
          <w:sz w:val="24"/>
          <w:szCs w:val="24"/>
          <w:lang w:eastAsia="ru-RU"/>
        </w:rPr>
        <w:t xml:space="preserve">ии </w:t>
      </w:r>
      <w:r w:rsidRPr="0084493B">
        <w:rPr>
          <w:rFonts w:ascii="Century Gothic" w:eastAsia="Times New Roman" w:hAnsi="Century Gothic"/>
          <w:sz w:val="24"/>
          <w:szCs w:val="24"/>
          <w:lang w:eastAsia="ru-RU"/>
        </w:rPr>
        <w:t xml:space="preserve">от </w:t>
      </w:r>
      <w:r w:rsidR="00E15BE5" w:rsidRPr="00E15BE5">
        <w:rPr>
          <w:rFonts w:ascii="Century Gothic" w:eastAsia="Times New Roman" w:hAnsi="Century Gothic"/>
          <w:sz w:val="24"/>
          <w:szCs w:val="24"/>
          <w:lang w:eastAsia="ru-RU"/>
        </w:rPr>
        <w:t>07.05.2018 № 204 «О национальных целях и стратегических задачах развития Российской Федерации на период до 2024 года»</w:t>
      </w:r>
      <w:r w:rsidRPr="0084493B">
        <w:rPr>
          <w:rFonts w:ascii="Century Gothic" w:eastAsia="Times New Roman" w:hAnsi="Century Gothic"/>
          <w:sz w:val="24"/>
          <w:szCs w:val="24"/>
          <w:lang w:eastAsia="ru-RU"/>
        </w:rPr>
        <w:t>, иные отраслевые нормативные правовые</w:t>
      </w:r>
      <w:proofErr w:type="gramEnd"/>
      <w:r w:rsidRPr="0084493B">
        <w:rPr>
          <w:rFonts w:ascii="Century Gothic" w:eastAsia="Times New Roman" w:hAnsi="Century Gothic"/>
          <w:sz w:val="24"/>
          <w:szCs w:val="24"/>
          <w:lang w:eastAsia="ru-RU"/>
        </w:rPr>
        <w:t xml:space="preserve"> акты федерального и регионального уровня);</w:t>
      </w:r>
    </w:p>
    <w:p w:rsidR="001F0333" w:rsidRDefault="00385140" w:rsidP="001F0333">
      <w:pPr>
        <w:spacing w:after="0" w:line="240" w:lineRule="auto"/>
        <w:ind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>
        <w:rPr>
          <w:rFonts w:ascii="Century Gothic" w:eastAsia="Times New Roman" w:hAnsi="Century Gothic"/>
          <w:sz w:val="24"/>
          <w:szCs w:val="24"/>
          <w:lang w:eastAsia="ru-RU"/>
        </w:rPr>
        <w:t>5.6.</w:t>
      </w:r>
      <w:r w:rsidR="001F0333" w:rsidRPr="0084493B">
        <w:rPr>
          <w:rFonts w:ascii="Century Gothic" w:eastAsia="Times New Roman" w:hAnsi="Century Gothic"/>
          <w:sz w:val="24"/>
          <w:szCs w:val="24"/>
          <w:lang w:eastAsia="ru-RU"/>
        </w:rPr>
        <w:t xml:space="preserve"> максимально точно сбалансировать ограниченное бюджетное финансирование и заявленные приоритеты</w:t>
      </w:r>
      <w:r w:rsidR="00AC47D8">
        <w:rPr>
          <w:rFonts w:ascii="Century Gothic" w:eastAsia="Times New Roman" w:hAnsi="Century Gothic"/>
          <w:sz w:val="24"/>
          <w:szCs w:val="24"/>
          <w:lang w:eastAsia="ru-RU"/>
        </w:rPr>
        <w:t xml:space="preserve"> программ</w:t>
      </w:r>
      <w:r w:rsidR="001F0333" w:rsidRPr="0084493B">
        <w:rPr>
          <w:rFonts w:ascii="Century Gothic" w:eastAsia="Times New Roman" w:hAnsi="Century Gothic"/>
          <w:sz w:val="24"/>
          <w:szCs w:val="24"/>
          <w:lang w:eastAsia="ru-RU"/>
        </w:rPr>
        <w:t>;</w:t>
      </w:r>
    </w:p>
    <w:p w:rsidR="00385140" w:rsidRPr="0084493B" w:rsidRDefault="00385140" w:rsidP="001F0333">
      <w:pPr>
        <w:spacing w:after="0" w:line="240" w:lineRule="auto"/>
        <w:ind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>
        <w:rPr>
          <w:rFonts w:ascii="Century Gothic" w:eastAsia="Times New Roman" w:hAnsi="Century Gothic"/>
          <w:sz w:val="24"/>
          <w:szCs w:val="24"/>
          <w:lang w:eastAsia="ru-RU"/>
        </w:rPr>
        <w:t>5.7. максимально использовать все имеющиеся возможности по привлечению финансирования программ из внебюджетных источников;</w:t>
      </w:r>
    </w:p>
    <w:p w:rsidR="008E5675" w:rsidRPr="0084493B" w:rsidRDefault="00264BCF" w:rsidP="008E5675">
      <w:pPr>
        <w:spacing w:after="0" w:line="240" w:lineRule="auto"/>
        <w:ind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>
        <w:rPr>
          <w:rFonts w:ascii="Century Gothic" w:eastAsia="Times New Roman" w:hAnsi="Century Gothic"/>
          <w:sz w:val="24"/>
          <w:szCs w:val="24"/>
          <w:lang w:eastAsia="ru-RU"/>
        </w:rPr>
        <w:t>5</w:t>
      </w:r>
      <w:r w:rsidR="008E5675" w:rsidRPr="0084493B">
        <w:rPr>
          <w:rFonts w:ascii="Century Gothic" w:eastAsia="Times New Roman" w:hAnsi="Century Gothic"/>
          <w:sz w:val="24"/>
          <w:szCs w:val="24"/>
          <w:lang w:eastAsia="ru-RU"/>
        </w:rPr>
        <w:t>.</w:t>
      </w:r>
      <w:r w:rsidR="00385140">
        <w:rPr>
          <w:rFonts w:ascii="Century Gothic" w:eastAsia="Times New Roman" w:hAnsi="Century Gothic"/>
          <w:sz w:val="24"/>
          <w:szCs w:val="24"/>
          <w:lang w:eastAsia="ru-RU"/>
        </w:rPr>
        <w:t>8</w:t>
      </w:r>
      <w:r w:rsidR="008E5675" w:rsidRPr="0084493B">
        <w:rPr>
          <w:rFonts w:ascii="Century Gothic" w:eastAsia="Times New Roman" w:hAnsi="Century Gothic"/>
          <w:sz w:val="24"/>
          <w:szCs w:val="24"/>
          <w:lang w:eastAsia="ru-RU"/>
        </w:rPr>
        <w:t xml:space="preserve">. отказаться от бюджетного финансирования мероприятий, </w:t>
      </w:r>
      <w:proofErr w:type="gramStart"/>
      <w:r w:rsidR="008E5675" w:rsidRPr="0084493B">
        <w:rPr>
          <w:rFonts w:ascii="Century Gothic" w:eastAsia="Times New Roman" w:hAnsi="Century Gothic"/>
          <w:sz w:val="24"/>
          <w:szCs w:val="24"/>
          <w:lang w:eastAsia="ru-RU"/>
        </w:rPr>
        <w:t>результаты</w:t>
      </w:r>
      <w:proofErr w:type="gramEnd"/>
      <w:r w:rsidR="008E5675" w:rsidRPr="0084493B">
        <w:rPr>
          <w:rFonts w:ascii="Century Gothic" w:eastAsia="Times New Roman" w:hAnsi="Century Gothic"/>
          <w:sz w:val="24"/>
          <w:szCs w:val="24"/>
          <w:lang w:eastAsia="ru-RU"/>
        </w:rPr>
        <w:t xml:space="preserve"> реализации которых незначительны или не явно влияют на улучшение социально-экономического состояния городского округа.</w:t>
      </w:r>
    </w:p>
    <w:p w:rsidR="008E5675" w:rsidRPr="001F0333" w:rsidRDefault="008E5675" w:rsidP="008E5675">
      <w:pPr>
        <w:spacing w:after="0" w:line="240" w:lineRule="auto"/>
        <w:ind w:right="-1" w:firstLine="567"/>
        <w:jc w:val="both"/>
        <w:rPr>
          <w:rFonts w:ascii="Century Gothic" w:hAnsi="Century Gothic"/>
          <w:color w:val="000000"/>
          <w:sz w:val="24"/>
          <w:szCs w:val="24"/>
        </w:rPr>
      </w:pPr>
      <w:r w:rsidRPr="001F0333">
        <w:rPr>
          <w:rFonts w:ascii="Century Gothic" w:hAnsi="Century Gothic"/>
          <w:color w:val="000000"/>
          <w:sz w:val="24"/>
          <w:szCs w:val="24"/>
        </w:rPr>
        <w:t xml:space="preserve">Выводы и предложения по каждой программе приведены в приложении </w:t>
      </w:r>
      <w:r w:rsidR="00385140">
        <w:rPr>
          <w:rFonts w:ascii="Century Gothic" w:hAnsi="Century Gothic"/>
          <w:color w:val="000000"/>
          <w:sz w:val="24"/>
          <w:szCs w:val="24"/>
        </w:rPr>
        <w:t>3</w:t>
      </w:r>
      <w:r w:rsidRPr="001F0333">
        <w:rPr>
          <w:rFonts w:ascii="Century Gothic" w:hAnsi="Century Gothic"/>
          <w:color w:val="000000"/>
          <w:sz w:val="24"/>
          <w:szCs w:val="24"/>
        </w:rPr>
        <w:t>.</w:t>
      </w:r>
    </w:p>
    <w:p w:rsidR="008E5675" w:rsidRDefault="008E5675" w:rsidP="008E5675">
      <w:pPr>
        <w:spacing w:after="0" w:line="240" w:lineRule="auto"/>
        <w:ind w:right="-1" w:firstLine="567"/>
        <w:jc w:val="both"/>
        <w:rPr>
          <w:rFonts w:ascii="Century Gothic" w:hAnsi="Century Gothic"/>
          <w:color w:val="000000"/>
          <w:sz w:val="24"/>
          <w:szCs w:val="24"/>
        </w:rPr>
      </w:pPr>
    </w:p>
    <w:p w:rsidR="008A79DD" w:rsidRPr="006D6355" w:rsidRDefault="008A79DD" w:rsidP="008E5675">
      <w:pPr>
        <w:spacing w:after="0" w:line="240" w:lineRule="auto"/>
        <w:ind w:right="-1" w:firstLine="567"/>
        <w:jc w:val="both"/>
        <w:rPr>
          <w:rFonts w:ascii="Century Gothic" w:hAnsi="Century Gothic"/>
          <w:color w:val="000000"/>
          <w:sz w:val="24"/>
          <w:szCs w:val="24"/>
        </w:rPr>
      </w:pPr>
    </w:p>
    <w:p w:rsidR="008E5675" w:rsidRPr="006D6355" w:rsidRDefault="008E5675" w:rsidP="008E5675">
      <w:pPr>
        <w:spacing w:after="0" w:line="240" w:lineRule="auto"/>
        <w:ind w:right="-1"/>
        <w:jc w:val="both"/>
        <w:rPr>
          <w:rFonts w:ascii="Century Gothic" w:hAnsi="Century Gothic"/>
          <w:color w:val="000000"/>
          <w:sz w:val="24"/>
          <w:szCs w:val="24"/>
        </w:rPr>
      </w:pPr>
      <w:r w:rsidRPr="006D6355">
        <w:rPr>
          <w:rFonts w:ascii="Century Gothic" w:hAnsi="Century Gothic"/>
          <w:color w:val="000000"/>
          <w:sz w:val="24"/>
          <w:szCs w:val="24"/>
        </w:rPr>
        <w:t xml:space="preserve">Начальник управления </w:t>
      </w:r>
    </w:p>
    <w:p w:rsidR="002E5DFC" w:rsidRDefault="008E5675" w:rsidP="008E5675">
      <w:r w:rsidRPr="006D6355">
        <w:rPr>
          <w:rFonts w:ascii="Century Gothic" w:hAnsi="Century Gothic"/>
          <w:color w:val="000000"/>
          <w:sz w:val="24"/>
          <w:szCs w:val="24"/>
        </w:rPr>
        <w:t>экономического развития и инвестиций</w:t>
      </w:r>
      <w:r w:rsidRPr="006D6355">
        <w:rPr>
          <w:rFonts w:ascii="Century Gothic" w:hAnsi="Century Gothic"/>
          <w:color w:val="000000"/>
          <w:sz w:val="24"/>
          <w:szCs w:val="24"/>
        </w:rPr>
        <w:tab/>
      </w:r>
      <w:r w:rsidRPr="006D6355">
        <w:rPr>
          <w:rFonts w:ascii="Century Gothic" w:hAnsi="Century Gothic"/>
          <w:color w:val="000000"/>
          <w:sz w:val="24"/>
          <w:szCs w:val="24"/>
        </w:rPr>
        <w:tab/>
      </w:r>
      <w:r w:rsidRPr="006D6355">
        <w:rPr>
          <w:rFonts w:ascii="Century Gothic" w:hAnsi="Century Gothic"/>
          <w:color w:val="000000"/>
          <w:sz w:val="24"/>
          <w:szCs w:val="24"/>
        </w:rPr>
        <w:tab/>
      </w:r>
      <w:r w:rsidRPr="006D6355">
        <w:rPr>
          <w:rFonts w:ascii="Century Gothic" w:hAnsi="Century Gothic"/>
          <w:color w:val="000000"/>
          <w:sz w:val="24"/>
          <w:szCs w:val="24"/>
        </w:rPr>
        <w:tab/>
        <w:t xml:space="preserve">   </w:t>
      </w:r>
      <w:r w:rsidRPr="006D6355">
        <w:rPr>
          <w:rFonts w:ascii="Century Gothic" w:hAnsi="Century Gothic"/>
          <w:color w:val="000000"/>
          <w:sz w:val="24"/>
          <w:szCs w:val="24"/>
        </w:rPr>
        <w:tab/>
      </w:r>
      <w:r w:rsidR="005F758F">
        <w:rPr>
          <w:rFonts w:ascii="Century Gothic" w:hAnsi="Century Gothic"/>
          <w:color w:val="000000"/>
          <w:sz w:val="24"/>
          <w:szCs w:val="24"/>
        </w:rPr>
        <w:tab/>
      </w:r>
      <w:r w:rsidR="003E10CB">
        <w:rPr>
          <w:rFonts w:ascii="Century Gothic" w:hAnsi="Century Gothic"/>
          <w:color w:val="000000"/>
          <w:sz w:val="24"/>
          <w:szCs w:val="24"/>
        </w:rPr>
        <w:t>А.В. Кузнецов</w:t>
      </w:r>
    </w:p>
    <w:sectPr w:rsidR="002E5DFC" w:rsidSect="008A79DD">
      <w:headerReference w:type="default" r:id="rId11"/>
      <w:footerReference w:type="default" r:id="rId12"/>
      <w:pgSz w:w="11906" w:h="16838"/>
      <w:pgMar w:top="52" w:right="566" w:bottom="567" w:left="1134" w:header="284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2351" w:rsidRDefault="00C42351" w:rsidP="00EA6CF2">
      <w:pPr>
        <w:spacing w:after="0" w:line="240" w:lineRule="auto"/>
      </w:pPr>
      <w:r>
        <w:separator/>
      </w:r>
    </w:p>
  </w:endnote>
  <w:endnote w:type="continuationSeparator" w:id="0">
    <w:p w:rsidR="00C42351" w:rsidRDefault="00C42351" w:rsidP="00EA6C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6BBD" w:rsidRPr="008A79DD" w:rsidRDefault="00F46BBD" w:rsidP="008A79DD">
    <w:pPr>
      <w:pStyle w:val="a9"/>
      <w:jc w:val="right"/>
      <w:rPr>
        <w:rFonts w:ascii="Century Gothic" w:hAnsi="Century Gothic"/>
      </w:rPr>
    </w:pPr>
    <w:r w:rsidRPr="008A79DD">
      <w:rPr>
        <w:rFonts w:ascii="Century Gothic" w:hAnsi="Century Gothic"/>
      </w:rPr>
      <w:t>Управление экономического развития и инвестиций</w:t>
    </w:r>
    <w:r w:rsidR="001F706D" w:rsidRPr="001F706D">
      <w:rPr>
        <w:rFonts w:ascii="Century Gothic" w:eastAsia="Times New Roman" w:hAnsi="Century Gothic"/>
        <w:sz w:val="24"/>
        <w:szCs w:val="24"/>
        <w:lang w:eastAsia="ru-RU"/>
      </w:rPr>
    </w:r>
    <w:r w:rsidR="001F706D" w:rsidRPr="001F706D">
      <w:rPr>
        <w:rFonts w:ascii="Century Gothic" w:eastAsia="Times New Roman" w:hAnsi="Century Gothic"/>
        <w:sz w:val="24"/>
        <w:szCs w:val="24"/>
        <w:lang w:eastAsia="ru-RU"/>
      </w:rPr>
      <w:pict>
        <v:group id="_x0000_s2053" style="width:39pt;height:37.95pt;flip:x y;mso-position-horizontal-relative:char;mso-position-vertical-relative:line" coordorigin="8754,11945" coordsize="2880,2859">
          <v:rect id="_x0000_s2054" style="position:absolute;left:10194;top:11945;width:1440;height:1440;flip:x;mso-width-relative:margin;v-text-anchor:middle" fillcolor="#bfbfbf [2412]" strokecolor="white [3212]" strokeweight="1pt">
            <v:fill opacity=".5"/>
            <v:shadow color="#d8d8d8 [2732]" offset="3pt,3pt" offset2="2pt,2pt"/>
          </v:rect>
          <v:rect id="_x0000_s2055" style="position:absolute;left:10194;top:13364;width:1440;height:1440;flip:x;mso-width-relative:margin;v-text-anchor:middle" fillcolor="#4caeac" strokecolor="white [3212]" strokeweight="1pt">
            <v:shadow color="#d8d8d8 [2732]" offset="3pt,3pt" offset2="2pt,2pt"/>
          </v:rect>
          <v:rect id="_x0000_s2056" style="position:absolute;left:8754;top:13364;width:1440;height:1440;flip:x;mso-width-relative:margin;v-text-anchor:middle" fillcolor="#ff7c80" strokecolor="white [3212]" strokeweight="1pt">
            <v:fill opacity=".5"/>
            <v:shadow color="#d8d8d8 [2732]" offset="3pt,3pt" offset2="2pt,2pt"/>
          </v:rect>
          <w10:wrap type="none" anchorx="margin" anchory="page"/>
          <w10:anchorlock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2351" w:rsidRDefault="00C42351" w:rsidP="00EA6CF2">
      <w:pPr>
        <w:spacing w:after="0" w:line="240" w:lineRule="auto"/>
      </w:pPr>
      <w:r>
        <w:separator/>
      </w:r>
    </w:p>
  </w:footnote>
  <w:footnote w:type="continuationSeparator" w:id="0">
    <w:p w:rsidR="00C42351" w:rsidRDefault="00C42351" w:rsidP="00EA6C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4A0"/>
    </w:tblPr>
    <w:tblGrid>
      <w:gridCol w:w="792"/>
      <w:gridCol w:w="9308"/>
    </w:tblGrid>
    <w:tr w:rsidR="00F46BBD" w:rsidTr="00074AB2">
      <w:trPr>
        <w:trHeight w:hRule="exact" w:val="792"/>
      </w:trPr>
      <w:tc>
        <w:tcPr>
          <w:tcW w:w="792" w:type="dxa"/>
          <w:shd w:val="clear" w:color="auto" w:fill="4CAEAC"/>
          <w:vAlign w:val="center"/>
        </w:tcPr>
        <w:p w:rsidR="00F46BBD" w:rsidRPr="00074AB2" w:rsidRDefault="001F706D">
          <w:pPr>
            <w:pStyle w:val="a9"/>
            <w:jc w:val="center"/>
            <w:rPr>
              <w:rFonts w:ascii="Century Gothic" w:hAnsi="Century Gothic"/>
            </w:rPr>
          </w:pPr>
          <w:r w:rsidRPr="00074AB2">
            <w:rPr>
              <w:rFonts w:ascii="Century Gothic" w:hAnsi="Century Gothic"/>
            </w:rPr>
            <w:fldChar w:fldCharType="begin"/>
          </w:r>
          <w:r w:rsidR="00F46BBD" w:rsidRPr="00074AB2">
            <w:rPr>
              <w:rFonts w:ascii="Century Gothic" w:hAnsi="Century Gothic"/>
            </w:rPr>
            <w:instrText xml:space="preserve"> PAGE  \* MERGEFORMAT </w:instrText>
          </w:r>
          <w:r w:rsidRPr="00074AB2">
            <w:rPr>
              <w:rFonts w:ascii="Century Gothic" w:hAnsi="Century Gothic"/>
            </w:rPr>
            <w:fldChar w:fldCharType="separate"/>
          </w:r>
          <w:r w:rsidR="00E15BE5">
            <w:rPr>
              <w:rFonts w:ascii="Century Gothic" w:hAnsi="Century Gothic"/>
              <w:noProof/>
            </w:rPr>
            <w:t>8</w:t>
          </w:r>
          <w:r w:rsidRPr="00074AB2">
            <w:rPr>
              <w:rFonts w:ascii="Century Gothic" w:hAnsi="Century Gothic"/>
            </w:rPr>
            <w:fldChar w:fldCharType="end"/>
          </w:r>
        </w:p>
      </w:tc>
      <w:sdt>
        <w:sdtPr>
          <w:rPr>
            <w:rFonts w:ascii="Century Gothic" w:eastAsiaTheme="majorEastAsia" w:hAnsi="Century Gothic" w:cstheme="majorBidi"/>
            <w:sz w:val="20"/>
            <w:szCs w:val="28"/>
          </w:rPr>
          <w:alias w:val="Заголовок"/>
          <w:id w:val="3174893"/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0" w:type="auto"/>
              <w:vAlign w:val="center"/>
            </w:tcPr>
            <w:p w:rsidR="00F46BBD" w:rsidRPr="00074AB2" w:rsidRDefault="000E4F55" w:rsidP="00074AB2">
              <w:pPr>
                <w:pStyle w:val="a9"/>
                <w:rPr>
                  <w:rFonts w:ascii="Century Gothic" w:eastAsiaTheme="majorEastAsia" w:hAnsi="Century Gothic" w:cstheme="majorBidi"/>
                  <w:sz w:val="28"/>
                  <w:szCs w:val="28"/>
                </w:rPr>
              </w:pPr>
              <w:r>
                <w:rPr>
                  <w:rFonts w:ascii="Century Gothic" w:eastAsiaTheme="majorEastAsia" w:hAnsi="Century Gothic" w:cstheme="majorBidi"/>
                  <w:sz w:val="20"/>
                  <w:szCs w:val="28"/>
                </w:rPr>
                <w:t>ОТЧЕТ О РЕАЛИЗАЦИИ ПКСЭР, МУНИЦИПАЛЬНЫХ И ВЕДОМСТВЕННЫХ ЦЕЛЕВЫХ ПРОГРАММ</w:t>
              </w:r>
            </w:p>
          </w:tc>
        </w:sdtContent>
      </w:sdt>
    </w:tr>
  </w:tbl>
  <w:p w:rsidR="00F46BBD" w:rsidRDefault="00F46BBD" w:rsidP="00074AB2">
    <w:pPr>
      <w:pStyle w:val="a7"/>
      <w:tabs>
        <w:tab w:val="clear" w:pos="4677"/>
        <w:tab w:val="clear" w:pos="9355"/>
        <w:tab w:val="left" w:pos="1309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9516B"/>
    <w:multiLevelType w:val="hybridMultilevel"/>
    <w:tmpl w:val="65724A5A"/>
    <w:lvl w:ilvl="0" w:tplc="3BBC0DF2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F752408"/>
    <w:multiLevelType w:val="hybridMultilevel"/>
    <w:tmpl w:val="E05006B6"/>
    <w:lvl w:ilvl="0" w:tplc="6DEA2D78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C3F4DD9"/>
    <w:multiLevelType w:val="hybridMultilevel"/>
    <w:tmpl w:val="ECC4C08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09A3A89"/>
    <w:multiLevelType w:val="hybridMultilevel"/>
    <w:tmpl w:val="2B907DF8"/>
    <w:lvl w:ilvl="0" w:tplc="F3AE082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55C39D2"/>
    <w:multiLevelType w:val="hybridMultilevel"/>
    <w:tmpl w:val="D88022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027DBB"/>
    <w:multiLevelType w:val="hybridMultilevel"/>
    <w:tmpl w:val="803E3A60"/>
    <w:lvl w:ilvl="0" w:tplc="FC14296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404384"/>
    <w:multiLevelType w:val="hybridMultilevel"/>
    <w:tmpl w:val="02E41E12"/>
    <w:lvl w:ilvl="0" w:tplc="65E2EC12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A736CD9"/>
    <w:multiLevelType w:val="hybridMultilevel"/>
    <w:tmpl w:val="FE244FE6"/>
    <w:lvl w:ilvl="0" w:tplc="A3FED3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4D311E51"/>
    <w:multiLevelType w:val="hybridMultilevel"/>
    <w:tmpl w:val="92C2C25E"/>
    <w:lvl w:ilvl="0" w:tplc="3D8ED75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>
    <w:nsid w:val="5E414060"/>
    <w:multiLevelType w:val="hybridMultilevel"/>
    <w:tmpl w:val="B26E9A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1071FC"/>
    <w:multiLevelType w:val="hybridMultilevel"/>
    <w:tmpl w:val="1F1E3D90"/>
    <w:lvl w:ilvl="0" w:tplc="0419000F">
      <w:start w:val="1"/>
      <w:numFmt w:val="decimal"/>
      <w:lvlText w:val="%1."/>
      <w:lvlJc w:val="left"/>
      <w:pPr>
        <w:ind w:left="2700" w:hanging="360"/>
      </w:p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1">
    <w:nsid w:val="6B9E59B3"/>
    <w:multiLevelType w:val="hybridMultilevel"/>
    <w:tmpl w:val="7DD4CE1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745D6C61"/>
    <w:multiLevelType w:val="hybridMultilevel"/>
    <w:tmpl w:val="80B2B240"/>
    <w:lvl w:ilvl="0" w:tplc="907AFFF2">
      <w:start w:val="1"/>
      <w:numFmt w:val="decimal"/>
      <w:lvlText w:val="%1."/>
      <w:lvlJc w:val="left"/>
      <w:pPr>
        <w:ind w:left="1482" w:hanging="91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0"/>
  </w:num>
  <w:num w:numId="2">
    <w:abstractNumId w:val="11"/>
  </w:num>
  <w:num w:numId="3">
    <w:abstractNumId w:val="6"/>
  </w:num>
  <w:num w:numId="4">
    <w:abstractNumId w:val="5"/>
  </w:num>
  <w:num w:numId="5">
    <w:abstractNumId w:val="8"/>
  </w:num>
  <w:num w:numId="6">
    <w:abstractNumId w:val="1"/>
  </w:num>
  <w:num w:numId="7">
    <w:abstractNumId w:val="12"/>
  </w:num>
  <w:num w:numId="8">
    <w:abstractNumId w:val="9"/>
  </w:num>
  <w:num w:numId="9">
    <w:abstractNumId w:val="3"/>
  </w:num>
  <w:num w:numId="10">
    <w:abstractNumId w:val="0"/>
  </w:num>
  <w:num w:numId="11">
    <w:abstractNumId w:val="7"/>
  </w:num>
  <w:num w:numId="12">
    <w:abstractNumId w:val="4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843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8E5675"/>
    <w:rsid w:val="00040172"/>
    <w:rsid w:val="00074AB2"/>
    <w:rsid w:val="000C4343"/>
    <w:rsid w:val="000D49CC"/>
    <w:rsid w:val="000E4F55"/>
    <w:rsid w:val="001458BA"/>
    <w:rsid w:val="00185828"/>
    <w:rsid w:val="001F0333"/>
    <w:rsid w:val="001F1F33"/>
    <w:rsid w:val="001F706D"/>
    <w:rsid w:val="00206797"/>
    <w:rsid w:val="00215713"/>
    <w:rsid w:val="002406F0"/>
    <w:rsid w:val="002458C0"/>
    <w:rsid w:val="00264BCF"/>
    <w:rsid w:val="00277ABF"/>
    <w:rsid w:val="002C28E8"/>
    <w:rsid w:val="002C529E"/>
    <w:rsid w:val="002E0919"/>
    <w:rsid w:val="002E5DFC"/>
    <w:rsid w:val="00311ABB"/>
    <w:rsid w:val="00341E5D"/>
    <w:rsid w:val="003575BD"/>
    <w:rsid w:val="0036180A"/>
    <w:rsid w:val="00367DDC"/>
    <w:rsid w:val="003768E8"/>
    <w:rsid w:val="003829B1"/>
    <w:rsid w:val="00385140"/>
    <w:rsid w:val="00390676"/>
    <w:rsid w:val="003A09BE"/>
    <w:rsid w:val="003D4846"/>
    <w:rsid w:val="003E10CB"/>
    <w:rsid w:val="004125CF"/>
    <w:rsid w:val="004162AC"/>
    <w:rsid w:val="00424011"/>
    <w:rsid w:val="00426E00"/>
    <w:rsid w:val="00472C75"/>
    <w:rsid w:val="00487A08"/>
    <w:rsid w:val="004909FF"/>
    <w:rsid w:val="004A2885"/>
    <w:rsid w:val="004A7107"/>
    <w:rsid w:val="004B68FE"/>
    <w:rsid w:val="004F5465"/>
    <w:rsid w:val="004F6773"/>
    <w:rsid w:val="00506264"/>
    <w:rsid w:val="00554671"/>
    <w:rsid w:val="005611F3"/>
    <w:rsid w:val="005968BF"/>
    <w:rsid w:val="005C5D97"/>
    <w:rsid w:val="005F758F"/>
    <w:rsid w:val="0062043C"/>
    <w:rsid w:val="00621ACE"/>
    <w:rsid w:val="006245FF"/>
    <w:rsid w:val="00625ABE"/>
    <w:rsid w:val="006277E3"/>
    <w:rsid w:val="0064086B"/>
    <w:rsid w:val="00663175"/>
    <w:rsid w:val="0068585D"/>
    <w:rsid w:val="006B7AD4"/>
    <w:rsid w:val="006C241E"/>
    <w:rsid w:val="007411F4"/>
    <w:rsid w:val="00753442"/>
    <w:rsid w:val="0077714B"/>
    <w:rsid w:val="007B66D3"/>
    <w:rsid w:val="007C798D"/>
    <w:rsid w:val="00822461"/>
    <w:rsid w:val="0084493B"/>
    <w:rsid w:val="008604CE"/>
    <w:rsid w:val="008659F2"/>
    <w:rsid w:val="008A79DD"/>
    <w:rsid w:val="008B21AD"/>
    <w:rsid w:val="008E5675"/>
    <w:rsid w:val="008F5EDA"/>
    <w:rsid w:val="009020BC"/>
    <w:rsid w:val="00902946"/>
    <w:rsid w:val="00905926"/>
    <w:rsid w:val="00936E9A"/>
    <w:rsid w:val="00962E42"/>
    <w:rsid w:val="00971CFA"/>
    <w:rsid w:val="00976193"/>
    <w:rsid w:val="009A20E2"/>
    <w:rsid w:val="009C5024"/>
    <w:rsid w:val="009F5639"/>
    <w:rsid w:val="00A05289"/>
    <w:rsid w:val="00A10049"/>
    <w:rsid w:val="00A26CC3"/>
    <w:rsid w:val="00A36B5B"/>
    <w:rsid w:val="00AB2C66"/>
    <w:rsid w:val="00AC47D8"/>
    <w:rsid w:val="00AE5720"/>
    <w:rsid w:val="00B0018C"/>
    <w:rsid w:val="00B101D6"/>
    <w:rsid w:val="00B11148"/>
    <w:rsid w:val="00B14C92"/>
    <w:rsid w:val="00B21501"/>
    <w:rsid w:val="00B41C74"/>
    <w:rsid w:val="00B645DA"/>
    <w:rsid w:val="00B835CC"/>
    <w:rsid w:val="00B85EDC"/>
    <w:rsid w:val="00B93F5F"/>
    <w:rsid w:val="00BE0E54"/>
    <w:rsid w:val="00BE59E2"/>
    <w:rsid w:val="00BF7164"/>
    <w:rsid w:val="00C11E39"/>
    <w:rsid w:val="00C26A48"/>
    <w:rsid w:val="00C30345"/>
    <w:rsid w:val="00C42351"/>
    <w:rsid w:val="00C71BAA"/>
    <w:rsid w:val="00C968A4"/>
    <w:rsid w:val="00CB08F0"/>
    <w:rsid w:val="00D25A73"/>
    <w:rsid w:val="00D2658E"/>
    <w:rsid w:val="00D434F9"/>
    <w:rsid w:val="00D44657"/>
    <w:rsid w:val="00D76919"/>
    <w:rsid w:val="00D802EB"/>
    <w:rsid w:val="00DB40A9"/>
    <w:rsid w:val="00DC2BE4"/>
    <w:rsid w:val="00DF67EC"/>
    <w:rsid w:val="00DF717A"/>
    <w:rsid w:val="00E05253"/>
    <w:rsid w:val="00E1389D"/>
    <w:rsid w:val="00E1504B"/>
    <w:rsid w:val="00E15BE5"/>
    <w:rsid w:val="00E176FF"/>
    <w:rsid w:val="00E31A40"/>
    <w:rsid w:val="00E50FB0"/>
    <w:rsid w:val="00E53688"/>
    <w:rsid w:val="00E61A96"/>
    <w:rsid w:val="00E6224E"/>
    <w:rsid w:val="00E64D57"/>
    <w:rsid w:val="00E779B7"/>
    <w:rsid w:val="00EA6CF2"/>
    <w:rsid w:val="00ED262D"/>
    <w:rsid w:val="00ED2F3D"/>
    <w:rsid w:val="00ED638B"/>
    <w:rsid w:val="00EF2770"/>
    <w:rsid w:val="00F3366D"/>
    <w:rsid w:val="00F46BBD"/>
    <w:rsid w:val="00F56DB8"/>
    <w:rsid w:val="00F76C48"/>
    <w:rsid w:val="00F77908"/>
    <w:rsid w:val="00F973E5"/>
    <w:rsid w:val="00FB1667"/>
    <w:rsid w:val="00FB3AED"/>
    <w:rsid w:val="00FB6BB1"/>
    <w:rsid w:val="00FC1277"/>
    <w:rsid w:val="00FF3DCB"/>
    <w:rsid w:val="00FF553A"/>
    <w:rsid w:val="00FF6B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67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567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5675"/>
    <w:rPr>
      <w:rFonts w:ascii="Tahoma" w:eastAsia="Calibri" w:hAnsi="Tahoma" w:cs="Times New Roman"/>
      <w:sz w:val="16"/>
      <w:szCs w:val="16"/>
    </w:rPr>
  </w:style>
  <w:style w:type="paragraph" w:styleId="a5">
    <w:name w:val="Normal (Web)"/>
    <w:basedOn w:val="a"/>
    <w:uiPriority w:val="99"/>
    <w:unhideWhenUsed/>
    <w:rsid w:val="008E567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8E5675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8E567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E5675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8E567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E5675"/>
    <w:rPr>
      <w:rFonts w:ascii="Calibri" w:eastAsia="Calibri" w:hAnsi="Calibri" w:cs="Times New Roman"/>
    </w:rPr>
  </w:style>
  <w:style w:type="table" w:styleId="ab">
    <w:name w:val="Table Grid"/>
    <w:basedOn w:val="a1"/>
    <w:uiPriority w:val="59"/>
    <w:rsid w:val="008E567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link w:val="ad"/>
    <w:uiPriority w:val="1"/>
    <w:qFormat/>
    <w:rsid w:val="00ED262D"/>
    <w:pPr>
      <w:spacing w:after="0" w:line="240" w:lineRule="auto"/>
    </w:pPr>
    <w:rPr>
      <w:rFonts w:eastAsiaTheme="minorEastAsia"/>
    </w:rPr>
  </w:style>
  <w:style w:type="character" w:customStyle="1" w:styleId="ad">
    <w:name w:val="Без интервала Знак"/>
    <w:basedOn w:val="a0"/>
    <w:link w:val="ac"/>
    <w:uiPriority w:val="1"/>
    <w:rsid w:val="00ED262D"/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187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1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glossaryDocument" Target="glossary/document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sataikina\&#1054;&#1090;&#1095;&#1077;&#1090;&#1099;_&#1087;&#1086;%20&#1055;&#1088;&#1086;&#1075;&#1088;&#1072;&#1084;&#1084;&#1077;\&#1054;&#1090;&#1095;&#1077;&#1090;%20&#1079;&#1072;%202008%20&#1075;&#1086;&#1076;\&#1054;&#1090;&#1095;&#1077;&#1090;%20&#1079;&#1072;%202008%20&#1075;&#1086;&#1076;-&#1089;&#1074;&#1086;&#1076;%20&#1073;&#1077;&#1079;%20&#1076;&#1077;&#1085;&#1077;&#1075;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layout>
        <c:manualLayout>
          <c:xMode val="edge"/>
          <c:yMode val="edge"/>
          <c:x val="0.14095490667833191"/>
          <c:y val="1.5873015873015883E-2"/>
        </c:manualLayout>
      </c:layout>
      <c:txPr>
        <a:bodyPr/>
        <a:lstStyle/>
        <a:p>
          <a:pPr>
            <a:defRPr sz="1400"/>
          </a:pPr>
          <a:endParaRPr lang="ru-RU"/>
        </a:p>
      </c:txPr>
    </c:title>
    <c:view3D>
      <c:rotX val="30"/>
      <c:rotY val="210"/>
      <c:perspective val="30"/>
    </c:view3D>
    <c:plotArea>
      <c:layout>
        <c:manualLayout>
          <c:layoutTarget val="inner"/>
          <c:xMode val="edge"/>
          <c:yMode val="edge"/>
          <c:x val="1.9727611588490967E-2"/>
          <c:y val="0.19774309098827397"/>
          <c:w val="0.51118148798013219"/>
          <c:h val="0.60203845508723752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Финансирование МП и ВЦП по направлениям, млн. руб.</c:v>
                </c:pt>
              </c:strCache>
            </c:strRef>
          </c:tx>
          <c:spPr>
            <a:scene3d>
              <a:camera prst="orthographicFront"/>
              <a:lightRig rig="threePt" dir="t"/>
            </a:scene3d>
            <a:sp3d>
              <a:bevelT w="25400" h="25400"/>
              <a:bevelB w="25400" h="25400"/>
            </a:sp3d>
          </c:spPr>
          <c:dPt>
            <c:idx val="0"/>
            <c:spPr>
              <a:solidFill>
                <a:srgbClr val="0070C0"/>
              </a:solidFill>
              <a:scene3d>
                <a:camera prst="orthographicFront"/>
                <a:lightRig rig="threePt" dir="t"/>
              </a:scene3d>
              <a:sp3d>
                <a:bevelT w="25400" h="25400"/>
                <a:bevelB w="25400" h="25400"/>
              </a:sp3d>
            </c:spPr>
          </c:dPt>
          <c:dPt>
            <c:idx val="1"/>
            <c:spPr>
              <a:solidFill>
                <a:srgbClr val="C00000"/>
              </a:solidFill>
              <a:scene3d>
                <a:camera prst="orthographicFront"/>
                <a:lightRig rig="threePt" dir="t"/>
              </a:scene3d>
              <a:sp3d>
                <a:bevelT w="25400" h="25400"/>
                <a:bevelB w="25400" h="25400"/>
              </a:sp3d>
            </c:spPr>
          </c:dPt>
          <c:dPt>
            <c:idx val="2"/>
            <c:spPr>
              <a:solidFill>
                <a:srgbClr val="92D050"/>
              </a:solidFill>
              <a:scene3d>
                <a:camera prst="orthographicFront"/>
                <a:lightRig rig="threePt" dir="t"/>
              </a:scene3d>
              <a:sp3d>
                <a:bevelT w="25400" h="25400"/>
                <a:bevelB w="25400" h="25400"/>
              </a:sp3d>
            </c:spPr>
          </c:dPt>
          <c:dPt>
            <c:idx val="3"/>
            <c:spPr>
              <a:solidFill>
                <a:srgbClr val="7030A0"/>
              </a:solidFill>
              <a:scene3d>
                <a:camera prst="orthographicFront"/>
                <a:lightRig rig="threePt" dir="t"/>
              </a:scene3d>
              <a:sp3d>
                <a:bevelT w="25400" h="25400"/>
                <a:bevelB w="25400" h="25400"/>
              </a:sp3d>
            </c:spPr>
          </c:dPt>
          <c:dPt>
            <c:idx val="4"/>
            <c:spPr>
              <a:solidFill>
                <a:srgbClr val="00B0F0"/>
              </a:solidFill>
              <a:scene3d>
                <a:camera prst="orthographicFront"/>
                <a:lightRig rig="threePt" dir="t"/>
              </a:scene3d>
              <a:sp3d>
                <a:bevelT w="25400" h="25400"/>
                <a:bevelB w="25400" h="25400"/>
              </a:sp3d>
            </c:spPr>
          </c:dPt>
          <c:dPt>
            <c:idx val="5"/>
            <c:spPr>
              <a:solidFill>
                <a:srgbClr val="FFFF00"/>
              </a:solidFill>
              <a:scene3d>
                <a:camera prst="orthographicFront"/>
                <a:lightRig rig="threePt" dir="t"/>
              </a:scene3d>
              <a:sp3d>
                <a:bevelT w="25400" h="25400"/>
                <a:bevelB w="25400" h="25400"/>
              </a:sp3d>
            </c:spPr>
          </c:dPt>
          <c:dPt>
            <c:idx val="6"/>
            <c:spPr>
              <a:solidFill>
                <a:schemeClr val="accent4"/>
              </a:solidFill>
              <a:scene3d>
                <a:camera prst="orthographicFront"/>
                <a:lightRig rig="threePt" dir="t"/>
              </a:scene3d>
              <a:sp3d>
                <a:bevelT w="25400" h="25400"/>
                <a:bevelB w="25400" h="25400"/>
              </a:sp3d>
            </c:spPr>
          </c:dPt>
          <c:dLbls>
            <c:dLbl>
              <c:idx val="0"/>
              <c:layout>
                <c:manualLayout>
                  <c:x val="-1.0588574585994701E-2"/>
                  <c:y val="-9.3082449991618368E-2"/>
                </c:manualLayout>
              </c:layout>
              <c:showVal val="1"/>
            </c:dLbl>
            <c:dLbl>
              <c:idx val="1"/>
              <c:layout>
                <c:manualLayout>
                  <c:x val="6.8710546984096232E-3"/>
                  <c:y val="-6.0764501982244808E-3"/>
                </c:manualLayout>
              </c:layout>
              <c:showVal val="1"/>
            </c:dLbl>
            <c:dLbl>
              <c:idx val="2"/>
              <c:layout>
                <c:manualLayout>
                  <c:x val="2.9902126431726899E-3"/>
                  <c:y val="-7.8270342602644455E-2"/>
                </c:manualLayout>
              </c:layout>
              <c:showVal val="1"/>
            </c:dLbl>
            <c:dLbl>
              <c:idx val="3"/>
              <c:layout>
                <c:manualLayout>
                  <c:x val="7.3412274083023754E-2"/>
                  <c:y val="-6.3670255850353324E-2"/>
                </c:manualLayout>
              </c:layout>
              <c:showVal val="1"/>
            </c:dLbl>
            <c:dLbl>
              <c:idx val="4"/>
              <c:layout>
                <c:manualLayout>
                  <c:x val="0.10440161029254058"/>
                  <c:y val="4.9044329456123838E-2"/>
                </c:manualLayout>
              </c:layout>
              <c:showVal val="1"/>
            </c:dLbl>
            <c:dLbl>
              <c:idx val="5"/>
              <c:layout>
                <c:manualLayout>
                  <c:x val="2.333504608220272E-3"/>
                  <c:y val="9.5767225480505397E-2"/>
                </c:manualLayout>
              </c:layout>
              <c:showVal val="1"/>
            </c:dLbl>
            <c:dLbl>
              <c:idx val="6"/>
              <c:layout>
                <c:manualLayout>
                  <c:x val="-7.96433733620001E-2"/>
                  <c:y val="3.7079001687587619E-2"/>
                </c:manualLayout>
              </c:layout>
              <c:showVal val="1"/>
            </c:dLbl>
            <c:dLbl>
              <c:idx val="7"/>
              <c:layout>
                <c:manualLayout>
                  <c:x val="-7.1738568733702684E-2"/>
                  <c:y val="-6.7967608759584089E-3"/>
                </c:manualLayout>
              </c:layout>
              <c:showVal val="1"/>
            </c:dLbl>
            <c:txPr>
              <a:bodyPr/>
              <a:lstStyle/>
              <a:p>
                <a:pPr>
                  <a:defRPr sz="1100" b="1"/>
                </a:pPr>
                <a:endParaRPr lang="ru-RU"/>
              </a:p>
            </c:txPr>
            <c:showVal val="1"/>
            <c:showLeaderLines val="1"/>
          </c:dLbls>
          <c:cat>
            <c:strRef>
              <c:f>Лист1!$A$2:$A$9</c:f>
              <c:strCache>
                <c:ptCount val="8"/>
                <c:pt idx="0">
                  <c:v>образование, физическая культура и спорт, молодежная политика</c:v>
                </c:pt>
                <c:pt idx="1">
                  <c:v>социальная защита населения</c:v>
                </c:pt>
                <c:pt idx="2">
                  <c:v>культура и туризм </c:v>
                </c:pt>
                <c:pt idx="3">
                  <c:v>жилищно-коммунальное хозяйство, инфракструктура</c:v>
                </c:pt>
                <c:pt idx="4">
                  <c:v>обеспечение доступным и комфортным жильем </c:v>
                </c:pt>
                <c:pt idx="5">
                  <c:v>безопасность жизнедеятельности</c:v>
                </c:pt>
                <c:pt idx="6">
                  <c:v>организация муниципального управления </c:v>
                </c:pt>
                <c:pt idx="7">
                  <c:v>содействие экономическому развитию </c:v>
                </c:pt>
              </c:strCache>
            </c:strRef>
          </c:cat>
          <c:val>
            <c:numRef>
              <c:f>Лист1!$B$2:$B$9</c:f>
              <c:numCache>
                <c:formatCode>0.0</c:formatCode>
                <c:ptCount val="8"/>
                <c:pt idx="0">
                  <c:v>2851.18</c:v>
                </c:pt>
                <c:pt idx="1">
                  <c:v>1139.5999999999999</c:v>
                </c:pt>
                <c:pt idx="2">
                  <c:v>286.28999999999962</c:v>
                </c:pt>
                <c:pt idx="3">
                  <c:v>1299.1499999999999</c:v>
                </c:pt>
                <c:pt idx="4">
                  <c:v>13.639999999999999</c:v>
                </c:pt>
                <c:pt idx="5">
                  <c:v>17.88</c:v>
                </c:pt>
                <c:pt idx="6">
                  <c:v>164.17</c:v>
                </c:pt>
                <c:pt idx="7">
                  <c:v>0.30000000000000032</c:v>
                </c:pt>
              </c:numCache>
            </c:numRef>
          </c:val>
        </c:ser>
      </c:pie3DChart>
    </c:plotArea>
    <c:legend>
      <c:legendPos val="r"/>
      <c:layout>
        <c:manualLayout>
          <c:xMode val="edge"/>
          <c:yMode val="edge"/>
          <c:x val="0.55102891939715382"/>
          <c:y val="7.7555133085958294E-2"/>
          <c:w val="0.44574492999856552"/>
          <c:h val="0.92244486691404171"/>
        </c:manualLayout>
      </c:layout>
    </c:legend>
    <c:plotVisOnly val="1"/>
    <c:dispBlanksAs val="zero"/>
  </c:chart>
  <c:spPr>
    <a:ln>
      <a:noFill/>
    </a:ln>
  </c:spPr>
  <c:txPr>
    <a:bodyPr/>
    <a:lstStyle/>
    <a:p>
      <a:pPr>
        <a:defRPr>
          <a:latin typeface="Century Gothic" pitchFamily="34" charset="0"/>
        </a:defRPr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otX val="30"/>
      <c:perspective val="30"/>
    </c:view3D>
    <c:plotArea>
      <c:layout>
        <c:manualLayout>
          <c:layoutTarget val="inner"/>
          <c:xMode val="edge"/>
          <c:yMode val="edge"/>
          <c:x val="7.5358887430737834E-2"/>
          <c:y val="0.13789682539682541"/>
          <c:w val="0.79957191235787728"/>
          <c:h val="0.80257936507936456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spPr>
            <a:scene3d>
              <a:camera prst="orthographicFront"/>
              <a:lightRig rig="threePt" dir="t"/>
            </a:scene3d>
            <a:sp3d>
              <a:bevelT w="38100" h="38100"/>
              <a:bevelB w="38100" h="38100"/>
            </a:sp3d>
          </c:spPr>
          <c:dPt>
            <c:idx val="0"/>
            <c:spPr>
              <a:solidFill>
                <a:srgbClr val="0070C0"/>
              </a:solidFill>
              <a:scene3d>
                <a:camera prst="orthographicFront"/>
                <a:lightRig rig="threePt" dir="t"/>
              </a:scene3d>
              <a:sp3d>
                <a:bevelT w="38100" h="38100"/>
                <a:bevelB w="38100" h="38100"/>
              </a:sp3d>
            </c:spPr>
          </c:dPt>
          <c:dPt>
            <c:idx val="1"/>
            <c:spPr>
              <a:solidFill>
                <a:srgbClr val="B51326"/>
              </a:solidFill>
              <a:scene3d>
                <a:camera prst="orthographicFront"/>
                <a:lightRig rig="threePt" dir="t"/>
              </a:scene3d>
              <a:sp3d>
                <a:bevelT w="38100" h="38100"/>
                <a:bevelB w="38100" h="38100"/>
              </a:sp3d>
            </c:spPr>
          </c:dPt>
          <c:dPt>
            <c:idx val="2"/>
            <c:spPr>
              <a:solidFill>
                <a:srgbClr val="92D050"/>
              </a:solidFill>
              <a:scene3d>
                <a:camera prst="orthographicFront"/>
                <a:lightRig rig="threePt" dir="t"/>
              </a:scene3d>
              <a:sp3d>
                <a:bevelT w="38100" h="38100"/>
                <a:bevelB w="38100" h="38100"/>
              </a:sp3d>
            </c:spPr>
          </c:dPt>
          <c:dPt>
            <c:idx val="3"/>
            <c:spPr>
              <a:solidFill>
                <a:srgbClr val="7030A0"/>
              </a:solidFill>
              <a:scene3d>
                <a:camera prst="orthographicFront"/>
                <a:lightRig rig="threePt" dir="t"/>
              </a:scene3d>
              <a:sp3d>
                <a:bevelT w="38100" h="38100"/>
                <a:bevelB w="38100" h="38100"/>
              </a:sp3d>
            </c:spPr>
          </c:dPt>
          <c:dLbls>
            <c:dLbl>
              <c:idx val="0"/>
              <c:layout>
                <c:manualLayout>
                  <c:x val="4.4757938349571966E-2"/>
                  <c:y val="-4.6632608517905516E-2"/>
                </c:manualLayout>
              </c:layout>
              <c:showVal val="1"/>
            </c:dLbl>
            <c:dLbl>
              <c:idx val="1"/>
              <c:layout>
                <c:manualLayout>
                  <c:x val="-0.13661722221046241"/>
                  <c:y val="-9.2051260529083148E-2"/>
                </c:manualLayout>
              </c:layout>
              <c:showVal val="1"/>
            </c:dLbl>
            <c:dLbl>
              <c:idx val="2"/>
              <c:layout>
                <c:manualLayout>
                  <c:x val="-7.6080152565162665E-2"/>
                  <c:y val="-5.4735340368250687E-2"/>
                </c:manualLayout>
              </c:layout>
              <c:showVal val="1"/>
            </c:dLbl>
            <c:dLbl>
              <c:idx val="3"/>
              <c:layout>
                <c:manualLayout>
                  <c:x val="0.10116958679438301"/>
                  <c:y val="-4.2943473741026132E-2"/>
                </c:manualLayout>
              </c:layout>
              <c:showVal val="1"/>
            </c:dLbl>
            <c:txPr>
              <a:bodyPr/>
              <a:lstStyle/>
              <a:p>
                <a:pPr>
                  <a:defRPr sz="1100" b="1"/>
                </a:pPr>
                <a:endParaRPr lang="ru-RU"/>
              </a:p>
            </c:txPr>
            <c:showVal val="1"/>
            <c:showLeaderLines val="1"/>
          </c:dLbls>
          <c:cat>
            <c:strRef>
              <c:f>Лист1!$A$2:$A$5</c:f>
              <c:strCache>
                <c:ptCount val="4"/>
                <c:pt idx="0">
                  <c:v>Городской бюджет</c:v>
                </c:pt>
                <c:pt idx="1">
                  <c:v>Областной бюджет</c:v>
                </c:pt>
                <c:pt idx="2">
                  <c:v>Федеральный бюджет</c:v>
                </c:pt>
                <c:pt idx="3">
                  <c:v>Другие источники</c:v>
                </c:pt>
              </c:strCache>
            </c:strRef>
          </c:cat>
          <c:val>
            <c:numRef>
              <c:f>Лист1!$B$2:$B$5</c:f>
              <c:numCache>
                <c:formatCode>0.0</c:formatCode>
                <c:ptCount val="4"/>
                <c:pt idx="0">
                  <c:v>1775</c:v>
                </c:pt>
                <c:pt idx="1">
                  <c:v>2989.7</c:v>
                </c:pt>
                <c:pt idx="2">
                  <c:v>918.7</c:v>
                </c:pt>
                <c:pt idx="3">
                  <c:v>88.8</c:v>
                </c:pt>
              </c:numCache>
            </c:numRef>
          </c:val>
        </c:ser>
      </c:pie3DChart>
    </c:plotArea>
    <c:legend>
      <c:legendPos val="r"/>
      <c:layout>
        <c:manualLayout>
          <c:xMode val="edge"/>
          <c:yMode val="edge"/>
          <c:x val="3.1952447369839418E-2"/>
          <c:y val="0.87632610962660151"/>
          <c:w val="0.93486001749781522"/>
          <c:h val="0.12036370453693344"/>
        </c:manualLayout>
      </c:layout>
    </c:legend>
    <c:plotVisOnly val="1"/>
    <c:dispBlanksAs val="zero"/>
  </c:chart>
  <c:spPr>
    <a:ln>
      <a:noFill/>
    </a:ln>
  </c:spPr>
  <c:txPr>
    <a:bodyPr/>
    <a:lstStyle/>
    <a:p>
      <a:pPr>
        <a:defRPr>
          <a:latin typeface="Century Gothic" pitchFamily="34" charset="0"/>
        </a:defRPr>
      </a:pPr>
      <a:endParaRPr lang="ru-RU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500"/>
            </a:pPr>
            <a:r>
              <a:rPr lang="ru-RU" sz="1500"/>
              <a:t>Коэффициент привлечения средств вышестоящих бюджетов</a:t>
            </a:r>
          </a:p>
        </c:rich>
      </c:tx>
    </c:title>
    <c:plotArea>
      <c:layout/>
      <c:lineChart>
        <c:grouping val="standard"/>
        <c:ser>
          <c:idx val="0"/>
          <c:order val="0"/>
          <c:tx>
            <c:strRef>
              <c:f>Лист1!$A$76</c:f>
              <c:strCache>
                <c:ptCount val="1"/>
                <c:pt idx="0">
                  <c:v>Коэффициент</c:v>
                </c:pt>
              </c:strCache>
            </c:strRef>
          </c:tx>
          <c:marker>
            <c:symbol val="none"/>
          </c:marker>
          <c:dLbls>
            <c:dLbl>
              <c:idx val="0"/>
              <c:layout>
                <c:manualLayout>
                  <c:x val="-5.5555555555555455E-2"/>
                  <c:y val="-3.7037037037037056E-2"/>
                </c:manualLayout>
              </c:layout>
              <c:showVal val="1"/>
            </c:dLbl>
            <c:dLbl>
              <c:idx val="1"/>
              <c:layout>
                <c:manualLayout>
                  <c:x val="-2.5000000000000001E-2"/>
                  <c:y val="-6.0185185185185147E-2"/>
                </c:manualLayout>
              </c:layout>
              <c:showVal val="1"/>
            </c:dLbl>
            <c:dLbl>
              <c:idx val="2"/>
              <c:layout>
                <c:manualLayout>
                  <c:x val="-5.0000000000000093E-2"/>
                  <c:y val="-4.6296296296296481E-2"/>
                </c:manualLayout>
              </c:layout>
              <c:showVal val="1"/>
            </c:dLbl>
            <c:dLbl>
              <c:idx val="3"/>
              <c:layout>
                <c:manualLayout>
                  <c:x val="-6.3888888888888884E-2"/>
                  <c:y val="-6.0185185185185147E-2"/>
                </c:manualLayout>
              </c:layout>
              <c:showVal val="1"/>
            </c:dLbl>
            <c:dLbl>
              <c:idx val="4"/>
              <c:layout>
                <c:manualLayout>
                  <c:x val="-3.888888888888889E-2"/>
                  <c:y val="-7.8703703703703734E-2"/>
                </c:manualLayout>
              </c:layout>
              <c:showVal val="1"/>
            </c:dLbl>
            <c:dLbl>
              <c:idx val="5"/>
              <c:layout>
                <c:manualLayout>
                  <c:x val="-4.4444444444444502E-2"/>
                  <c:y val="-6.9444444444444503E-2"/>
                </c:manualLayout>
              </c:layout>
              <c:showVal val="1"/>
            </c:dLbl>
            <c:dLbl>
              <c:idx val="6"/>
              <c:layout>
                <c:manualLayout>
                  <c:x val="-0.05"/>
                  <c:y val="-6.9444444444444503E-2"/>
                </c:manualLayout>
              </c:layout>
              <c:showVal val="1"/>
            </c:dLbl>
            <c:dLbl>
              <c:idx val="7"/>
              <c:layout>
                <c:manualLayout>
                  <c:x val="-1.1111111111111125E-2"/>
                  <c:y val="-6.9444444444444503E-2"/>
                </c:manualLayout>
              </c:layout>
              <c:showVal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Val val="1"/>
          </c:dLbls>
          <c:cat>
            <c:numRef>
              <c:f>Лист1!$B$75:$I$75</c:f>
              <c:numCache>
                <c:formatCode>General</c:formatCode>
                <c:ptCount val="8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</c:numCache>
            </c:numRef>
          </c:cat>
          <c:val>
            <c:numRef>
              <c:f>Лист1!$B$76:$I$76</c:f>
              <c:numCache>
                <c:formatCode>General</c:formatCode>
                <c:ptCount val="8"/>
                <c:pt idx="0">
                  <c:v>2.58</c:v>
                </c:pt>
                <c:pt idx="1">
                  <c:v>1.49</c:v>
                </c:pt>
                <c:pt idx="2">
                  <c:v>0.93</c:v>
                </c:pt>
                <c:pt idx="3">
                  <c:v>1.49</c:v>
                </c:pt>
                <c:pt idx="4">
                  <c:v>1.6</c:v>
                </c:pt>
                <c:pt idx="5">
                  <c:v>1.75</c:v>
                </c:pt>
                <c:pt idx="6">
                  <c:v>1.85</c:v>
                </c:pt>
                <c:pt idx="7">
                  <c:v>2.25</c:v>
                </c:pt>
              </c:numCache>
            </c:numRef>
          </c:val>
        </c:ser>
        <c:marker val="1"/>
        <c:axId val="126726912"/>
        <c:axId val="126728448"/>
      </c:lineChart>
      <c:catAx>
        <c:axId val="126726912"/>
        <c:scaling>
          <c:orientation val="minMax"/>
        </c:scaling>
        <c:axPos val="b"/>
        <c:numFmt formatCode="General" sourceLinked="1"/>
        <c:tickLblPos val="nextTo"/>
        <c:txPr>
          <a:bodyPr/>
          <a:lstStyle/>
          <a:p>
            <a:pPr>
              <a:defRPr b="1"/>
            </a:pPr>
            <a:endParaRPr lang="ru-RU"/>
          </a:p>
        </c:txPr>
        <c:crossAx val="126728448"/>
        <c:crosses val="autoZero"/>
        <c:auto val="1"/>
        <c:lblAlgn val="ctr"/>
        <c:lblOffset val="100"/>
      </c:catAx>
      <c:valAx>
        <c:axId val="126728448"/>
        <c:scaling>
          <c:orientation val="minMax"/>
        </c:scaling>
        <c:axPos val="l"/>
        <c:numFmt formatCode="General" sourceLinked="1"/>
        <c:tickLblPos val="nextTo"/>
        <c:txPr>
          <a:bodyPr/>
          <a:lstStyle/>
          <a:p>
            <a:pPr>
              <a:defRPr b="1"/>
            </a:pPr>
            <a:endParaRPr lang="ru-RU"/>
          </a:p>
        </c:txPr>
        <c:crossAx val="126726912"/>
        <c:crosses val="autoZero"/>
        <c:crossBetween val="between"/>
      </c:valAx>
    </c:plotArea>
    <c:plotVisOnly val="1"/>
  </c:chart>
  <c:spPr>
    <a:ln>
      <a:noFill/>
    </a:ln>
  </c:spPr>
  <c:txPr>
    <a:bodyPr/>
    <a:lstStyle/>
    <a:p>
      <a:pPr>
        <a:defRPr>
          <a:latin typeface="Century Gothic" pitchFamily="34" charset="0"/>
        </a:defRPr>
      </a:pPr>
      <a:endParaRPr lang="ru-RU"/>
    </a:p>
  </c:txPr>
  <c:externalData r:id="rId1"/>
</c:chartSpace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1BD003F80744F4B9A7F7E2FFAF29F5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1EB547A-5AA6-4E01-8214-0644B09CF3C6}"/>
      </w:docPartPr>
      <w:docPartBody>
        <w:p w:rsidR="00A15509" w:rsidRDefault="00A15509" w:rsidP="00A15509">
          <w:pPr>
            <w:pStyle w:val="C1BD003F80744F4B9A7F7E2FFAF29F5A"/>
          </w:pPr>
          <w:r>
            <w:rPr>
              <w:rFonts w:asciiTheme="majorHAnsi" w:eastAsiaTheme="majorEastAsia" w:hAnsiTheme="majorHAnsi" w:cstheme="majorBidi"/>
              <w:b/>
              <w:bCs/>
              <w:color w:val="FFFFFF" w:themeColor="background1"/>
              <w:sz w:val="72"/>
              <w:szCs w:val="72"/>
            </w:rPr>
            <w:t>[Год]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A15509"/>
    <w:rsid w:val="002B2110"/>
    <w:rsid w:val="00302740"/>
    <w:rsid w:val="00395A19"/>
    <w:rsid w:val="003E7A4F"/>
    <w:rsid w:val="004965BE"/>
    <w:rsid w:val="004C185E"/>
    <w:rsid w:val="006E0237"/>
    <w:rsid w:val="00966FD6"/>
    <w:rsid w:val="00A15509"/>
    <w:rsid w:val="00B81945"/>
    <w:rsid w:val="00B93FAD"/>
    <w:rsid w:val="00BB32A2"/>
    <w:rsid w:val="00C154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1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19818F3444C44B4A5D737211BB14F86">
    <w:name w:val="819818F3444C44B4A5D737211BB14F86"/>
    <w:rsid w:val="00A15509"/>
  </w:style>
  <w:style w:type="paragraph" w:customStyle="1" w:styleId="1A0B5189C2DC44D1B0595A7D96F81E92">
    <w:name w:val="1A0B5189C2DC44D1B0595A7D96F81E92"/>
    <w:rsid w:val="00A15509"/>
  </w:style>
  <w:style w:type="paragraph" w:customStyle="1" w:styleId="8A60761D02CF4F04A8ABE8BE5E05FA62">
    <w:name w:val="8A60761D02CF4F04A8ABE8BE5E05FA62"/>
    <w:rsid w:val="00A15509"/>
  </w:style>
  <w:style w:type="paragraph" w:customStyle="1" w:styleId="962DF6263D634883A7B9B9A6DB325FBF">
    <w:name w:val="962DF6263D634883A7B9B9A6DB325FBF"/>
    <w:rsid w:val="00A15509"/>
  </w:style>
  <w:style w:type="paragraph" w:customStyle="1" w:styleId="A6DBB750345F48E6AEC4A201511B48DF">
    <w:name w:val="A6DBB750345F48E6AEC4A201511B48DF"/>
    <w:rsid w:val="00A15509"/>
  </w:style>
  <w:style w:type="paragraph" w:customStyle="1" w:styleId="279B5E7CD13942ACA50D291D735C8B6D">
    <w:name w:val="279B5E7CD13942ACA50D291D735C8B6D"/>
    <w:rsid w:val="00A15509"/>
  </w:style>
  <w:style w:type="paragraph" w:customStyle="1" w:styleId="A6CBBA94D85B46CCB321870F77E24133">
    <w:name w:val="A6CBBA94D85B46CCB321870F77E24133"/>
    <w:rsid w:val="00A15509"/>
  </w:style>
  <w:style w:type="paragraph" w:customStyle="1" w:styleId="A85DCCB75DEC4A0BB997895B4B3F56BB">
    <w:name w:val="A85DCCB75DEC4A0BB997895B4B3F56BB"/>
    <w:rsid w:val="00A15509"/>
  </w:style>
  <w:style w:type="paragraph" w:customStyle="1" w:styleId="6051FDB00D264209868122CC78BA49D8">
    <w:name w:val="6051FDB00D264209868122CC78BA49D8"/>
    <w:rsid w:val="00A15509"/>
  </w:style>
  <w:style w:type="paragraph" w:customStyle="1" w:styleId="F30599DE6FE7410DAB15AA9B9CF56EE9">
    <w:name w:val="F30599DE6FE7410DAB15AA9B9CF56EE9"/>
    <w:rsid w:val="00A15509"/>
  </w:style>
  <w:style w:type="paragraph" w:customStyle="1" w:styleId="FE6754ACE5944CEF9ECFE1FD3A4F6F5B">
    <w:name w:val="FE6754ACE5944CEF9ECFE1FD3A4F6F5B"/>
    <w:rsid w:val="00A15509"/>
  </w:style>
  <w:style w:type="paragraph" w:customStyle="1" w:styleId="C4F18AD189A94887AD5FEC49D60B77AC">
    <w:name w:val="C4F18AD189A94887AD5FEC49D60B77AC"/>
    <w:rsid w:val="00A15509"/>
  </w:style>
  <w:style w:type="paragraph" w:customStyle="1" w:styleId="633EDEDF4B6B45FDB22B6B711DA657CE">
    <w:name w:val="633EDEDF4B6B45FDB22B6B711DA657CE"/>
    <w:rsid w:val="00A15509"/>
  </w:style>
  <w:style w:type="paragraph" w:customStyle="1" w:styleId="65E7DF85E2C64FCEA708599C9F4774A1">
    <w:name w:val="65E7DF85E2C64FCEA708599C9F4774A1"/>
    <w:rsid w:val="00A15509"/>
  </w:style>
  <w:style w:type="paragraph" w:customStyle="1" w:styleId="401C02858CD6415480EA87F755EC66B4">
    <w:name w:val="401C02858CD6415480EA87F755EC66B4"/>
    <w:rsid w:val="00A15509"/>
  </w:style>
  <w:style w:type="paragraph" w:customStyle="1" w:styleId="34476CF2F60D48889A7C9E293569226D">
    <w:name w:val="34476CF2F60D48889A7C9E293569226D"/>
    <w:rsid w:val="00A15509"/>
  </w:style>
  <w:style w:type="paragraph" w:customStyle="1" w:styleId="03C49EABBD5C4C58B90CD88221885292">
    <w:name w:val="03C49EABBD5C4C58B90CD88221885292"/>
    <w:rsid w:val="00A15509"/>
  </w:style>
  <w:style w:type="paragraph" w:customStyle="1" w:styleId="2C68ACFFDF814B678016AAD3A847500D">
    <w:name w:val="2C68ACFFDF814B678016AAD3A847500D"/>
    <w:rsid w:val="00A15509"/>
  </w:style>
  <w:style w:type="paragraph" w:customStyle="1" w:styleId="C1BD003F80744F4B9A7F7E2FFAF29F5A">
    <w:name w:val="C1BD003F80744F4B9A7F7E2FFAF29F5A"/>
    <w:rsid w:val="00A15509"/>
  </w:style>
  <w:style w:type="paragraph" w:customStyle="1" w:styleId="0D51D017D6D649B6B5EF92F45D020B1A">
    <w:name w:val="0D51D017D6D649B6B5EF92F45D020B1A"/>
    <w:rsid w:val="00A15509"/>
  </w:style>
  <w:style w:type="paragraph" w:customStyle="1" w:styleId="F8341608F89D4EE0BA310514626E6FC0">
    <w:name w:val="F8341608F89D4EE0BA310514626E6FC0"/>
    <w:rsid w:val="00A15509"/>
  </w:style>
  <w:style w:type="paragraph" w:customStyle="1" w:styleId="3E03E939FE00466EAF44F052674093C9">
    <w:name w:val="3E03E939FE00466EAF44F052674093C9"/>
    <w:rsid w:val="00A15509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2019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8</Pages>
  <Words>2011</Words>
  <Characters>11468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ОТЧЕТ О РЕАЛИЗАЦИИ ПКСЭР, МУНИЦИПАЛЬНЫХ И ВЕДОМСТВЕННЫХ ЦЕЛЕВЫХ ПРОГРАММ</vt:lpstr>
    </vt:vector>
  </TitlesOfParts>
  <Company>Управление экономического развития и инвестиций</Company>
  <LinksUpToDate>false</LinksUpToDate>
  <CharactersWithSpaces>13453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О РЕАЛИЗАЦИИ ПКСЭР, МУНИЦИПАЛЬНЫХ И ВЕДОМСТВЕННЫХ ЦЕЛЕВЫХ ПРОГРАММ</dc:title>
  <dc:creator>pokrovskaya_ev</dc:creator>
  <cp:lastModifiedBy>pokrovskaya_ev</cp:lastModifiedBy>
  <cp:revision>8</cp:revision>
  <dcterms:created xsi:type="dcterms:W3CDTF">2019-03-21T11:22:00Z</dcterms:created>
  <dcterms:modified xsi:type="dcterms:W3CDTF">2019-03-27T07:07:00Z</dcterms:modified>
</cp:coreProperties>
</file>