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="1" w:tblpY="1"/>
        <w:tblW w:w="0" w:type="auto"/>
        <w:shd w:val="clear" w:color="auto" w:fill="FF7C80"/>
        <w:tblLook w:val="04A0"/>
      </w:tblPr>
      <w:tblGrid>
        <w:gridCol w:w="1440"/>
        <w:gridCol w:w="5614"/>
      </w:tblGrid>
      <w:tr w:rsidR="00074AB2" w:rsidTr="00074AB2">
        <w:trPr>
          <w:trHeight w:val="1440"/>
        </w:trPr>
        <w:tc>
          <w:tcPr>
            <w:tcW w:w="1440" w:type="dxa"/>
            <w:shd w:val="clear" w:color="auto" w:fill="4CAEAC"/>
          </w:tcPr>
          <w:p w:rsidR="00074AB2" w:rsidRDefault="00074AB2" w:rsidP="00074AB2"/>
        </w:tc>
        <w:tc>
          <w:tcPr>
            <w:tcW w:w="5614" w:type="dxa"/>
            <w:shd w:val="clear" w:color="auto" w:fill="C0C0C0"/>
            <w:vAlign w:val="bottom"/>
          </w:tcPr>
          <w:p w:rsidR="00074AB2" w:rsidRPr="00074AB2" w:rsidRDefault="00E1094B" w:rsidP="00E1094B">
            <w:pPr>
              <w:pStyle w:val="ac"/>
              <w:rPr>
                <w:rFonts w:ascii="Century Gothic" w:hAnsi="Century Gothic"/>
                <w:b/>
                <w:bCs/>
                <w:sz w:val="72"/>
                <w:szCs w:val="72"/>
              </w:rPr>
            </w:pPr>
            <w:r>
              <w:rPr>
                <w:rFonts w:ascii="Century Gothic" w:hAnsi="Century Gothic"/>
                <w:b/>
                <w:bCs/>
                <w:sz w:val="72"/>
                <w:szCs w:val="72"/>
              </w:rPr>
              <w:t>202</w:t>
            </w:r>
            <w:r w:rsidR="0001467E">
              <w:rPr>
                <w:rFonts w:ascii="Century Gothic" w:hAnsi="Century Gothic"/>
                <w:b/>
                <w:bCs/>
                <w:sz w:val="72"/>
                <w:szCs w:val="72"/>
              </w:rPr>
              <w:t>1</w:t>
            </w:r>
          </w:p>
        </w:tc>
      </w:tr>
      <w:tr w:rsidR="00074AB2" w:rsidTr="00074AB2">
        <w:trPr>
          <w:trHeight w:val="2880"/>
        </w:trPr>
        <w:tc>
          <w:tcPr>
            <w:tcW w:w="1440" w:type="dxa"/>
            <w:shd w:val="clear" w:color="auto" w:fill="FF7C80"/>
          </w:tcPr>
          <w:p w:rsidR="00074AB2" w:rsidRDefault="00074AB2" w:rsidP="00074AB2"/>
        </w:tc>
        <w:tc>
          <w:tcPr>
            <w:tcW w:w="5614" w:type="dxa"/>
            <w:shd w:val="clear" w:color="auto" w:fill="auto"/>
            <w:vAlign w:val="center"/>
          </w:tcPr>
          <w:p w:rsidR="0001467E" w:rsidRPr="00F3246E" w:rsidRDefault="00074AB2" w:rsidP="00074AB2">
            <w:pPr>
              <w:pStyle w:val="ac"/>
              <w:jc w:val="center"/>
              <w:rPr>
                <w:rFonts w:ascii="Century Gothic" w:hAnsi="Century Gothic"/>
                <w:sz w:val="28"/>
              </w:rPr>
            </w:pPr>
            <w:r w:rsidRPr="00F3246E">
              <w:rPr>
                <w:rFonts w:ascii="Century Gothic" w:hAnsi="Century Gothic"/>
                <w:sz w:val="28"/>
              </w:rPr>
              <w:t>Администрация городского округа город Рыбинск</w:t>
            </w:r>
          </w:p>
        </w:tc>
      </w:tr>
    </w:tbl>
    <w:p w:rsidR="00ED262D" w:rsidRDefault="00ED262D"/>
    <w:p w:rsidR="00ED262D" w:rsidRDefault="00ED262D"/>
    <w:p w:rsidR="00ED262D" w:rsidRDefault="00ED262D"/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074AB2" w:rsidRDefault="00074AB2" w:rsidP="00E53688">
      <w:pPr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074AB2" w:rsidRDefault="00074AB2" w:rsidP="00E53688">
      <w:pPr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074AB2" w:rsidRDefault="00074AB2" w:rsidP="00E53688">
      <w:pPr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</w:p>
    <w:p w:rsidR="00B4659A" w:rsidRDefault="00B4659A" w:rsidP="00B4659A">
      <w:pPr>
        <w:spacing w:after="0" w:line="240" w:lineRule="auto"/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  <w:r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>ОТЧЕТ О РЕАЛИЗАЦИИ</w:t>
      </w:r>
      <w:r w:rsidRPr="00ED2F3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П</w:t>
      </w:r>
      <w: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>рограммы</w:t>
      </w:r>
    </w:p>
    <w:p w:rsidR="00971BCD" w:rsidRDefault="00B4659A" w:rsidP="00B4659A">
      <w:pPr>
        <w:spacing w:after="0" w:line="240" w:lineRule="auto"/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  <w: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комплексного социально-экономического развития городского округа город Рыбинск на 2016-2020 годы,</w:t>
      </w:r>
      <w:r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муниципальных и ведомственных целевых ПРОГРАММ </w:t>
      </w:r>
    </w:p>
    <w:p w:rsidR="00E53688" w:rsidRPr="00ED262D" w:rsidRDefault="00B4659A" w:rsidP="00B4659A">
      <w:pPr>
        <w:spacing w:after="0" w:line="240" w:lineRule="auto"/>
        <w:jc w:val="center"/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</w:pPr>
      <w:r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за </w:t>
      </w:r>
      <w:r w:rsidR="00E53688"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20</w:t>
      </w:r>
      <w:r w:rsidR="0001467E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>20</w:t>
      </w:r>
      <w:r w:rsidR="00E53688" w:rsidRPr="00ED262D">
        <w:rPr>
          <w:rFonts w:ascii="Century Gothic" w:eastAsia="Times New Roman" w:hAnsi="Century Gothic" w:cs="Arial"/>
          <w:bCs/>
          <w:caps/>
          <w:sz w:val="32"/>
          <w:szCs w:val="24"/>
          <w:lang w:eastAsia="ru-RU"/>
        </w:rPr>
        <w:t xml:space="preserve"> ГОД</w:t>
      </w: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AE4CE5" w:rsidRDefault="00AE4CE5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864"/>
        <w:tblW w:w="10598" w:type="dxa"/>
        <w:tblLook w:val="04A0"/>
      </w:tblPr>
      <w:tblGrid>
        <w:gridCol w:w="8330"/>
        <w:gridCol w:w="2268"/>
      </w:tblGrid>
      <w:tr w:rsidR="00ED262D" w:rsidTr="00F3246E">
        <w:trPr>
          <w:trHeight w:val="1277"/>
        </w:trPr>
        <w:tc>
          <w:tcPr>
            <w:tcW w:w="8330" w:type="dxa"/>
          </w:tcPr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7C80"/>
          </w:tcPr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</w:tc>
      </w:tr>
      <w:tr w:rsidR="00ED262D" w:rsidTr="00F3246E">
        <w:trPr>
          <w:trHeight w:val="954"/>
        </w:trPr>
        <w:tc>
          <w:tcPr>
            <w:tcW w:w="8330" w:type="dxa"/>
            <w:shd w:val="clear" w:color="auto" w:fill="C0C0C0"/>
          </w:tcPr>
          <w:p w:rsidR="00ED262D" w:rsidRPr="00F3246E" w:rsidRDefault="00A36B5B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Cs/>
                <w:caps/>
                <w:sz w:val="28"/>
                <w:szCs w:val="24"/>
                <w:lang w:eastAsia="ru-RU"/>
              </w:rPr>
            </w:pPr>
            <w:r w:rsidRPr="00F3246E"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  <w:lang w:eastAsia="ru-RU"/>
              </w:rPr>
              <w:t>Управление экономиче</w:t>
            </w:r>
            <w:r w:rsidR="00FB1667" w:rsidRPr="00F3246E"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  <w:lang w:eastAsia="ru-RU"/>
              </w:rPr>
              <w:t>с</w:t>
            </w:r>
            <w:r w:rsidRPr="00F3246E">
              <w:rPr>
                <w:rFonts w:ascii="Century Gothic" w:eastAsia="Times New Roman" w:hAnsi="Century Gothic" w:cs="Arial"/>
                <w:bCs/>
                <w:caps/>
                <w:sz w:val="24"/>
                <w:szCs w:val="24"/>
                <w:lang w:eastAsia="ru-RU"/>
              </w:rPr>
              <w:t>кого развития и инвестиций</w:t>
            </w:r>
          </w:p>
          <w:p w:rsidR="00ED262D" w:rsidRPr="00F3246E" w:rsidRDefault="00ED262D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4CAEAC"/>
          </w:tcPr>
          <w:p w:rsidR="00ED262D" w:rsidRPr="00F3246E" w:rsidRDefault="00A36B5B" w:rsidP="00F3246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aps/>
                <w:sz w:val="24"/>
                <w:szCs w:val="24"/>
                <w:lang w:eastAsia="ru-RU"/>
              </w:rPr>
            </w:pPr>
            <w:r w:rsidRPr="00F3246E">
              <w:rPr>
                <w:rFonts w:ascii="Century Gothic" w:eastAsia="Times New Roman" w:hAnsi="Century Gothic" w:cs="Arial"/>
                <w:b/>
                <w:bCs/>
                <w:caps/>
                <w:sz w:val="28"/>
                <w:szCs w:val="24"/>
                <w:lang w:eastAsia="ru-RU"/>
              </w:rPr>
              <w:t>Рыбинск</w:t>
            </w:r>
          </w:p>
        </w:tc>
      </w:tr>
    </w:tbl>
    <w:p w:rsidR="00E53688" w:rsidRDefault="00E53688">
      <w:pP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</w:pPr>
    </w:p>
    <w:p w:rsidR="0000440B" w:rsidRPr="00E779B7" w:rsidRDefault="00E53688" w:rsidP="00390E92">
      <w:pPr>
        <w:rPr>
          <w:rFonts w:ascii="Century Gothic" w:eastAsia="Times New Roman" w:hAnsi="Century Gothic"/>
          <w:b/>
          <w:bCs/>
          <w:sz w:val="28"/>
          <w:szCs w:val="28"/>
          <w:lang w:eastAsia="ru-RU"/>
        </w:rPr>
      </w:pPr>
      <w:r>
        <w:rPr>
          <w:rFonts w:ascii="Century Gothic" w:eastAsia="Times New Roman" w:hAnsi="Century Gothic" w:cs="Arial"/>
          <w:b/>
          <w:bCs/>
          <w:caps/>
          <w:sz w:val="24"/>
          <w:szCs w:val="24"/>
          <w:lang w:eastAsia="ru-RU"/>
        </w:rPr>
        <w:br w:type="page"/>
      </w:r>
      <w:r w:rsidR="0000440B" w:rsidRPr="00B4659A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lastRenderedPageBreak/>
        <w:t>Информация о реализации Программы комплексного социально-экономического развития городского округа город Рыбинск на 2016-2020 годы (Программа-2020) за 20</w:t>
      </w:r>
      <w:r w:rsidR="0001467E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20</w:t>
      </w:r>
      <w:r w:rsidR="0000440B" w:rsidRPr="00B4659A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год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Ежегодный мониторинг выполнения Программы-2020 проведен в рамках оценки степен</w:t>
      </w:r>
      <w:r>
        <w:rPr>
          <w:rFonts w:ascii="Century Gothic" w:eastAsia="Times New Roman" w:hAnsi="Century Gothic"/>
          <w:sz w:val="24"/>
          <w:szCs w:val="24"/>
          <w:lang w:eastAsia="ru-RU"/>
        </w:rPr>
        <w:t>и достижения планируемых на 20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год значений 50 индикаторов. Средний уровень достижения планируемых значений индикаторов – 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>91,3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за 2019 год – 91,4%,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за 2018 год - 89,4 %,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за 2017 год - 93,4 %, за 2016 год – 97,1%), в т.ч. по приоритетам Программы -2020: 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I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Сокращение темпов общей численности населения, прекращение миграционной убыли населения – 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>67,6 %</w:t>
      </w:r>
      <w:r w:rsidR="002F4933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EA0789">
        <w:rPr>
          <w:rFonts w:ascii="Century Gothic" w:eastAsia="Times New Roman" w:hAnsi="Century Gothic"/>
          <w:sz w:val="24"/>
          <w:szCs w:val="24"/>
          <w:lang w:eastAsia="ru-RU"/>
        </w:rPr>
        <w:t>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за 2019 год – 75,9 %, </w:t>
      </w:r>
      <w:r w:rsidR="00EA0789">
        <w:rPr>
          <w:rFonts w:ascii="Century Gothic" w:eastAsia="Times New Roman" w:hAnsi="Century Gothic"/>
          <w:sz w:val="24"/>
          <w:szCs w:val="24"/>
          <w:lang w:eastAsia="ru-RU"/>
        </w:rPr>
        <w:t xml:space="preserve">за 2018 год - 79,7 %,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за 2017 год - 84,8 %, за 2016 год - 95,1 %);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II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Укрепление экономического базиса, развитие научно-производственного (инновационного), инвестиционного потенциала – 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83,3 % </w:t>
      </w:r>
      <w:r w:rsidR="00B55F0F">
        <w:rPr>
          <w:rFonts w:ascii="Century Gothic" w:eastAsia="Times New Roman" w:hAnsi="Century Gothic"/>
          <w:sz w:val="24"/>
          <w:szCs w:val="24"/>
          <w:lang w:eastAsia="ru-RU"/>
        </w:rPr>
        <w:t>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>за 2019 год – 98,2 %, за 2018 год - 104,0</w:t>
      </w:r>
      <w:r w:rsidR="00B55F0F">
        <w:rPr>
          <w:rFonts w:ascii="Century Gothic" w:eastAsia="Times New Roman" w:hAnsi="Century Gothic"/>
          <w:sz w:val="24"/>
          <w:szCs w:val="24"/>
          <w:lang w:eastAsia="ru-RU"/>
        </w:rPr>
        <w:t xml:space="preserve"> % ,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за 2017 год - 99,9 %, за 2016 год - 98,3 %);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AF1D5F">
        <w:rPr>
          <w:rFonts w:ascii="Century Gothic" w:eastAsia="Times New Roman" w:hAnsi="Century Gothic"/>
          <w:sz w:val="24"/>
          <w:szCs w:val="24"/>
          <w:lang w:eastAsia="ru-RU"/>
        </w:rPr>
        <w:t>I</w:t>
      </w:r>
      <w:r w:rsidRPr="00AF1D5F">
        <w:rPr>
          <w:rFonts w:ascii="Century Gothic" w:eastAsia="Times New Roman" w:hAnsi="Century Gothic"/>
          <w:sz w:val="24"/>
          <w:szCs w:val="24"/>
          <w:lang w:val="en-US" w:eastAsia="ru-RU"/>
        </w:rPr>
        <w:t>I</w:t>
      </w:r>
      <w:r w:rsidRPr="00AF1D5F">
        <w:rPr>
          <w:rFonts w:ascii="Century Gothic" w:eastAsia="Times New Roman" w:hAnsi="Century Gothic"/>
          <w:sz w:val="24"/>
          <w:szCs w:val="24"/>
          <w:lang w:eastAsia="ru-RU"/>
        </w:rPr>
        <w:t xml:space="preserve">I – Развитие социальной сферы – 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105,3 % </w:t>
      </w:r>
      <w:r w:rsidR="00720364" w:rsidRPr="00AF1D5F">
        <w:rPr>
          <w:rFonts w:ascii="Century Gothic" w:eastAsia="Times New Roman" w:hAnsi="Century Gothic"/>
          <w:sz w:val="24"/>
          <w:szCs w:val="24"/>
          <w:lang w:eastAsia="ru-RU"/>
        </w:rPr>
        <w:t>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за 2019 год – 104,2 %, </w:t>
      </w:r>
      <w:r w:rsidR="000D5682" w:rsidRPr="00AF1D5F">
        <w:rPr>
          <w:rFonts w:ascii="Century Gothic" w:eastAsia="Times New Roman" w:hAnsi="Century Gothic"/>
          <w:sz w:val="24"/>
          <w:szCs w:val="24"/>
          <w:lang w:eastAsia="ru-RU"/>
        </w:rPr>
        <w:t xml:space="preserve">за 2018 год - </w:t>
      </w:r>
      <w:r w:rsidRPr="00AF1D5F">
        <w:rPr>
          <w:rFonts w:ascii="Century Gothic" w:eastAsia="Times New Roman" w:hAnsi="Century Gothic"/>
          <w:sz w:val="24"/>
          <w:szCs w:val="24"/>
          <w:lang w:eastAsia="ru-RU"/>
        </w:rPr>
        <w:t>106,2 %</w:t>
      </w:r>
      <w:r w:rsidR="000D5682" w:rsidRPr="00AF1D5F">
        <w:rPr>
          <w:rFonts w:ascii="Century Gothic" w:eastAsia="Times New Roman" w:hAnsi="Century Gothic"/>
          <w:sz w:val="24"/>
          <w:szCs w:val="24"/>
          <w:lang w:eastAsia="ru-RU"/>
        </w:rPr>
        <w:t xml:space="preserve">, </w:t>
      </w:r>
      <w:r w:rsidRPr="00AF1D5F">
        <w:rPr>
          <w:rFonts w:ascii="Century Gothic" w:eastAsia="Times New Roman" w:hAnsi="Century Gothic"/>
          <w:sz w:val="24"/>
          <w:szCs w:val="24"/>
          <w:lang w:eastAsia="ru-RU"/>
        </w:rPr>
        <w:t>за 2017 год - 104,6 %, за 2016 год - 99,6%);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IV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Жилищно-коммунальное хозяйство, инфраструктура, благоустройство –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147,7 </w:t>
      </w:r>
      <w:r w:rsidR="00AF1D5F">
        <w:rPr>
          <w:rFonts w:ascii="Century Gothic" w:eastAsia="Times New Roman" w:hAnsi="Century Gothic"/>
          <w:sz w:val="24"/>
          <w:szCs w:val="24"/>
          <w:lang w:eastAsia="ru-RU"/>
        </w:rPr>
        <w:t>%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за 2019 год – 139,1 %, </w:t>
      </w:r>
      <w:r w:rsidR="00AF1D5F">
        <w:rPr>
          <w:rFonts w:ascii="Century Gothic" w:eastAsia="Times New Roman" w:hAnsi="Century Gothic"/>
          <w:sz w:val="24"/>
          <w:szCs w:val="24"/>
          <w:lang w:eastAsia="ru-RU"/>
        </w:rPr>
        <w:t xml:space="preserve">за 2018 год - 102,5 % ,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за 2017 год - 107,9 %, за 2016 год - 101,4%);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V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Строительство, комфортное и доступное жилье –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70,4 </w:t>
      </w:r>
      <w:r w:rsidR="00EE30D1">
        <w:rPr>
          <w:rFonts w:ascii="Century Gothic" w:eastAsia="Times New Roman" w:hAnsi="Century Gothic"/>
          <w:sz w:val="24"/>
          <w:szCs w:val="24"/>
          <w:lang w:eastAsia="ru-RU"/>
        </w:rPr>
        <w:t>%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за 2019 год–72,1 %, </w:t>
      </w:r>
      <w:r w:rsidR="00EE30D1">
        <w:rPr>
          <w:rFonts w:ascii="Century Gothic" w:eastAsia="Times New Roman" w:hAnsi="Century Gothic"/>
          <w:sz w:val="24"/>
          <w:szCs w:val="24"/>
          <w:lang w:eastAsia="ru-RU"/>
        </w:rPr>
        <w:t xml:space="preserve">за 2018 год -76,8 %,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за 2017 год - 83,7 %, за 2016 год - 92,5 %);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VI – Социальная поддержка граждан в сфере обеспечения жильем – 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64,5 </w:t>
      </w:r>
      <w:r w:rsidR="00EE30D1">
        <w:rPr>
          <w:rFonts w:ascii="Century Gothic" w:eastAsia="Times New Roman" w:hAnsi="Century Gothic"/>
          <w:sz w:val="24"/>
          <w:szCs w:val="24"/>
          <w:lang w:eastAsia="ru-RU"/>
        </w:rPr>
        <w:t>%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за 2019 год – 48,7 %, </w:t>
      </w:r>
      <w:r w:rsidR="00EE30D1">
        <w:rPr>
          <w:rFonts w:ascii="Century Gothic" w:eastAsia="Times New Roman" w:hAnsi="Century Gothic"/>
          <w:sz w:val="24"/>
          <w:szCs w:val="24"/>
          <w:lang w:eastAsia="ru-RU"/>
        </w:rPr>
        <w:t xml:space="preserve">за 2018 год - 56,5 %,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за 2017 год - 70,7 %, за 2016 год - 91,0 %);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val="en-US" w:eastAsia="ru-RU"/>
        </w:rPr>
        <w:t>VII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– Совершенствование органов местного самоуправления, эффективное взаимодействие власти и общества –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100 %(за 2019 год – 101,7%, </w:t>
      </w:r>
      <w:r w:rsidR="0078234B">
        <w:rPr>
          <w:rFonts w:ascii="Century Gothic" w:eastAsia="Times New Roman" w:hAnsi="Century Gothic"/>
          <w:sz w:val="24"/>
          <w:szCs w:val="24"/>
          <w:lang w:eastAsia="ru-RU"/>
        </w:rPr>
        <w:t xml:space="preserve">за 2018 год - 100,0 %,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за 2017 год - 101,9 %, за 2016  год - 101,9 %).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По 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>26% (13)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индикаторов достигнуто выполнение плановых значений; невыполнение – по 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>72 %</w:t>
      </w:r>
      <w:r w:rsidR="0078234B">
        <w:rPr>
          <w:rFonts w:ascii="Century Gothic" w:eastAsia="Times New Roman" w:hAnsi="Century Gothic"/>
          <w:sz w:val="24"/>
          <w:szCs w:val="24"/>
          <w:lang w:eastAsia="ru-RU"/>
        </w:rPr>
        <w:t xml:space="preserve">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>36</w:t>
      </w:r>
      <w:r w:rsidR="0078234B">
        <w:rPr>
          <w:rFonts w:ascii="Century Gothic" w:eastAsia="Times New Roman" w:hAnsi="Century Gothic"/>
          <w:sz w:val="24"/>
          <w:szCs w:val="24"/>
          <w:lang w:eastAsia="ru-RU"/>
        </w:rPr>
        <w:t>)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, по 2% (1) нет динамики. 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Интегральный уровень результативности вы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полнения Программы – 2020 в 2020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году рассчитан на основе анализа степени достижения плановых значений 15 индикаторов, напрямую влияющих на уровень и качество жизни населения города: 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 коэффициент рождаемости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59,2 </w:t>
      </w:r>
      <w:r w:rsidR="0078234B">
        <w:rPr>
          <w:rFonts w:ascii="Century Gothic" w:eastAsia="Times New Roman" w:hAnsi="Century Gothic"/>
          <w:sz w:val="24"/>
          <w:szCs w:val="24"/>
          <w:lang w:eastAsia="ru-RU"/>
        </w:rPr>
        <w:t>%)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 коэффициент смертности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84,1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среднемесячная начисленная заработная плата по крупным, средним и малым предприятиям и организациям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98,8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- среднесписочная численность работающих на крупных, </w:t>
      </w:r>
      <w:r w:rsidR="0078234B">
        <w:rPr>
          <w:rFonts w:ascii="Century Gothic" w:eastAsia="Times New Roman" w:hAnsi="Century Gothic"/>
          <w:sz w:val="24"/>
          <w:szCs w:val="24"/>
          <w:lang w:eastAsia="ru-RU"/>
        </w:rPr>
        <w:t>средних и малых предприятиях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78234B">
        <w:rPr>
          <w:rFonts w:ascii="Century Gothic" w:eastAsia="Times New Roman" w:hAnsi="Century Gothic"/>
          <w:sz w:val="24"/>
          <w:szCs w:val="24"/>
          <w:lang w:eastAsia="ru-RU"/>
        </w:rPr>
        <w:t>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86,4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 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уровень регистрируемой безработицы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58,8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 ;</w:t>
      </w:r>
    </w:p>
    <w:p w:rsidR="0001467E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инвестиции в основной капитал за счет всех источников финансирования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49,5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доля детей в возрасте 1-6 лет, получающих услуги в дошкольных образовательных учреждениях, от общей численности детей в возрасте 1-6 лет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95,4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удельный вес населения, систематически занимающегося физической культурой и спортом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105,5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lastRenderedPageBreak/>
        <w:t>- доля населения в возрасте 14-30 лет, участвующего в мероприятиях молодежной направленности/количество участников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119,6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количество принятых туристов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229,2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снижение общего количества зарегистрированных преступлений (</w:t>
      </w:r>
      <w:r w:rsidR="0001467E">
        <w:rPr>
          <w:rFonts w:ascii="Century Gothic" w:eastAsia="Times New Roman" w:hAnsi="Century Gothic"/>
          <w:sz w:val="24"/>
          <w:szCs w:val="24"/>
          <w:lang w:eastAsia="ru-RU"/>
        </w:rPr>
        <w:t xml:space="preserve">103,8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общая протяженность автомобильных дорог общего пользования местного значения с твердым покрытием (</w:t>
      </w:r>
      <w:r w:rsidR="00F81356">
        <w:rPr>
          <w:rFonts w:ascii="Century Gothic" w:eastAsia="Times New Roman" w:hAnsi="Century Gothic"/>
          <w:sz w:val="24"/>
          <w:szCs w:val="24"/>
          <w:lang w:eastAsia="ru-RU"/>
        </w:rPr>
        <w:t xml:space="preserve">101,6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степень износа сетей коммунальной инфраструктуры (</w:t>
      </w:r>
      <w:r w:rsidR="004B1B60">
        <w:rPr>
          <w:rFonts w:ascii="Century Gothic" w:eastAsia="Times New Roman" w:hAnsi="Century Gothic"/>
          <w:sz w:val="24"/>
          <w:szCs w:val="24"/>
          <w:lang w:eastAsia="ru-RU"/>
        </w:rPr>
        <w:t>99,8</w:t>
      </w:r>
      <w:r w:rsidR="00F81356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 ввод в эксплуатацию жилья (</w:t>
      </w:r>
      <w:r w:rsidR="00F81356">
        <w:rPr>
          <w:rFonts w:ascii="Century Gothic" w:eastAsia="Times New Roman" w:hAnsi="Century Gothic"/>
          <w:sz w:val="24"/>
          <w:szCs w:val="24"/>
          <w:lang w:eastAsia="ru-RU"/>
        </w:rPr>
        <w:t xml:space="preserve">48,8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- семьи, улучшившие жилищные условия при бюджетной поддержке (</w:t>
      </w:r>
      <w:r w:rsidR="00F81356">
        <w:rPr>
          <w:rFonts w:ascii="Century Gothic" w:eastAsia="Times New Roman" w:hAnsi="Century Gothic"/>
          <w:sz w:val="24"/>
          <w:szCs w:val="24"/>
          <w:lang w:eastAsia="ru-RU"/>
        </w:rPr>
        <w:t xml:space="preserve">74,1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%). </w:t>
      </w:r>
    </w:p>
    <w:p w:rsidR="0000440B" w:rsidRPr="001458BA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sz w:val="24"/>
          <w:szCs w:val="24"/>
          <w:lang w:eastAsia="ru-RU"/>
        </w:rPr>
      </w:pP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В результате проведенной интегральной оценки средний уровень достижения планируемых значени</w:t>
      </w:r>
      <w:r w:rsidR="00F81356">
        <w:rPr>
          <w:rFonts w:ascii="Century Gothic" w:eastAsia="Times New Roman" w:hAnsi="Century Gothic"/>
          <w:sz w:val="24"/>
          <w:szCs w:val="24"/>
          <w:lang w:eastAsia="ru-RU"/>
        </w:rPr>
        <w:t>й 15 основных индикаторов за 2020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 xml:space="preserve"> год составил </w:t>
      </w:r>
      <w:r w:rsidR="00F81356">
        <w:rPr>
          <w:rFonts w:ascii="Century Gothic" w:eastAsia="Times New Roman" w:hAnsi="Century Gothic"/>
          <w:sz w:val="24"/>
          <w:szCs w:val="24"/>
          <w:lang w:eastAsia="ru-RU"/>
        </w:rPr>
        <w:t>94,3 %</w:t>
      </w:r>
      <w:r w:rsidR="007A395B">
        <w:rPr>
          <w:rFonts w:ascii="Century Gothic" w:eastAsia="Times New Roman" w:hAnsi="Century Gothic"/>
          <w:sz w:val="24"/>
          <w:szCs w:val="24"/>
          <w:lang w:eastAsia="ru-RU"/>
        </w:rPr>
        <w:t xml:space="preserve"> (</w:t>
      </w:r>
      <w:r w:rsidR="00F81356">
        <w:rPr>
          <w:rFonts w:ascii="Century Gothic" w:eastAsia="Times New Roman" w:hAnsi="Century Gothic"/>
          <w:sz w:val="24"/>
          <w:szCs w:val="24"/>
          <w:lang w:eastAsia="ru-RU"/>
        </w:rPr>
        <w:t xml:space="preserve">за 2019 год – 94,2, </w:t>
      </w:r>
      <w:r w:rsidR="007A395B">
        <w:rPr>
          <w:rFonts w:ascii="Century Gothic" w:eastAsia="Times New Roman" w:hAnsi="Century Gothic"/>
          <w:sz w:val="24"/>
          <w:szCs w:val="24"/>
          <w:lang w:eastAsia="ru-RU"/>
        </w:rPr>
        <w:t xml:space="preserve">за 2018 год - 95,3 %, </w:t>
      </w:r>
      <w:r w:rsidRPr="001458BA">
        <w:rPr>
          <w:rFonts w:ascii="Century Gothic" w:eastAsia="Times New Roman" w:hAnsi="Century Gothic"/>
          <w:sz w:val="24"/>
          <w:szCs w:val="24"/>
          <w:lang w:eastAsia="ru-RU"/>
        </w:rPr>
        <w:t>за 2017 год - 98,2 %, за 2016 год – 100,2 %) - качественная характеристика выполнения Программы по принятой шкале</w:t>
      </w:r>
      <w:r w:rsidRPr="001458BA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– высоко результативная.</w:t>
      </w:r>
    </w:p>
    <w:p w:rsidR="0000440B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Информация о достижении значений всех индикаторов Программы-2020 за 20</w:t>
      </w:r>
      <w:r w:rsidR="00F81356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7A395B">
        <w:rPr>
          <w:rFonts w:ascii="Century Gothic" w:eastAsia="Times New Roman" w:hAnsi="Century Gothic"/>
          <w:sz w:val="24"/>
          <w:szCs w:val="24"/>
          <w:lang w:eastAsia="ru-RU"/>
        </w:rPr>
        <w:t xml:space="preserve">год представлена в Приложении 1. </w:t>
      </w:r>
    </w:p>
    <w:p w:rsidR="0000440B" w:rsidRDefault="0000440B" w:rsidP="00390E92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3829B1" w:rsidRDefault="003829B1" w:rsidP="00FF3DCB">
      <w:pPr>
        <w:spacing w:after="0" w:line="240" w:lineRule="auto"/>
        <w:ind w:right="-1"/>
        <w:jc w:val="center"/>
        <w:rPr>
          <w:rFonts w:ascii="Century Gothic" w:eastAsia="Times New Roman" w:hAnsi="Century Gothic"/>
          <w:b/>
          <w:bCs/>
          <w:sz w:val="28"/>
          <w:szCs w:val="28"/>
          <w:lang w:eastAsia="ru-RU"/>
        </w:rPr>
      </w:pP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Информация</w:t>
      </w:r>
      <w:r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</w:t>
      </w:r>
      <w:r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>о реализации муниципальных и ведомственных целевых программ городского округа город Рыбинск за</w:t>
      </w:r>
      <w:r w:rsidR="00580DF1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20</w:t>
      </w:r>
      <w:r w:rsidR="00AB69EE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20 </w:t>
      </w:r>
      <w:r w:rsidRPr="00E779B7">
        <w:rPr>
          <w:rFonts w:ascii="Century Gothic" w:eastAsia="Times New Roman" w:hAnsi="Century Gothic"/>
          <w:b/>
          <w:bCs/>
          <w:sz w:val="28"/>
          <w:szCs w:val="28"/>
          <w:lang w:eastAsia="ru-RU"/>
        </w:rPr>
        <w:t xml:space="preserve"> год</w:t>
      </w:r>
    </w:p>
    <w:p w:rsidR="00AB69EE" w:rsidRPr="008B21AD" w:rsidRDefault="00AB69EE" w:rsidP="00FF3DCB">
      <w:pPr>
        <w:spacing w:after="0" w:line="240" w:lineRule="auto"/>
        <w:ind w:right="-1"/>
        <w:jc w:val="center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390E92" w:rsidRDefault="008E5675" w:rsidP="00390E92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В </w:t>
      </w:r>
      <w:r w:rsidRPr="004909FF">
        <w:rPr>
          <w:rFonts w:ascii="Century Gothic" w:eastAsia="Times New Roman" w:hAnsi="Century Gothic"/>
          <w:sz w:val="24"/>
          <w:szCs w:val="24"/>
          <w:lang w:eastAsia="ru-RU"/>
        </w:rPr>
        <w:t>течение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580DF1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="00E36708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="00E53688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года </w:t>
      </w:r>
      <w:r w:rsidR="00E53688">
        <w:rPr>
          <w:rFonts w:ascii="Century Gothic" w:eastAsia="Times New Roman" w:hAnsi="Century Gothic"/>
          <w:sz w:val="24"/>
          <w:szCs w:val="24"/>
          <w:lang w:eastAsia="ru-RU"/>
        </w:rPr>
        <w:t xml:space="preserve">в городском округе город Рыбинск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осуществлялась реализация </w:t>
      </w:r>
      <w:r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="00580DF1">
        <w:rPr>
          <w:rFonts w:ascii="Century Gothic" w:eastAsia="Times New Roman" w:hAnsi="Century Gothic"/>
          <w:sz w:val="24"/>
          <w:szCs w:val="24"/>
          <w:lang w:eastAsia="ru-RU"/>
        </w:rPr>
        <w:t>6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муниципальных</w:t>
      </w:r>
      <w:r w:rsidR="001F1F33">
        <w:rPr>
          <w:rFonts w:ascii="Century Gothic" w:eastAsia="Times New Roman" w:hAnsi="Century Gothic"/>
          <w:sz w:val="24"/>
          <w:szCs w:val="24"/>
          <w:lang w:eastAsia="ru-RU"/>
        </w:rPr>
        <w:t xml:space="preserve"> (МП)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и </w:t>
      </w:r>
      <w:r w:rsidR="00580DF1">
        <w:rPr>
          <w:rFonts w:ascii="Century Gothic" w:eastAsia="Times New Roman" w:hAnsi="Century Gothic"/>
          <w:sz w:val="24"/>
          <w:szCs w:val="24"/>
          <w:lang w:eastAsia="ru-RU"/>
        </w:rPr>
        <w:t>9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ведомственных целевых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1F1F33">
        <w:rPr>
          <w:rFonts w:ascii="Century Gothic" w:eastAsia="Times New Roman" w:hAnsi="Century Gothic"/>
          <w:sz w:val="24"/>
          <w:szCs w:val="24"/>
          <w:lang w:eastAsia="ru-RU"/>
        </w:rPr>
        <w:t xml:space="preserve"> (ВЦП)</w:t>
      </w:r>
      <w:r w:rsidR="00580DF1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FF3DCB" w:rsidRPr="006D6355" w:rsidRDefault="000355D6" w:rsidP="00390E92">
      <w:pPr>
        <w:spacing w:after="0" w:line="240" w:lineRule="auto"/>
        <w:ind w:right="-1" w:firstLine="567"/>
        <w:jc w:val="center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noProof/>
          <w:sz w:val="24"/>
          <w:szCs w:val="24"/>
          <w:lang w:eastAsia="ru-RU"/>
        </w:rPr>
        <w:drawing>
          <wp:inline distT="0" distB="0" distL="0" distR="0">
            <wp:extent cx="5241798" cy="3441331"/>
            <wp:effectExtent l="12192" t="5658" r="3810" b="1061"/>
            <wp:docPr id="2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B7AD4" w:rsidRPr="006B7AD4" w:rsidRDefault="008E5675" w:rsidP="00FF3DCB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Реализация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муниципальных и ведомственных целевых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в 20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осуществлялась по </w:t>
      </w:r>
      <w:r w:rsidRPr="006D6355">
        <w:rPr>
          <w:rFonts w:ascii="Century Gothic" w:eastAsia="Times New Roman" w:hAnsi="Century Gothic"/>
          <w:b/>
          <w:bCs/>
          <w:sz w:val="24"/>
          <w:szCs w:val="24"/>
          <w:lang w:eastAsia="ru-RU"/>
        </w:rPr>
        <w:t>8 основным направлениям</w:t>
      </w:r>
      <w:r w:rsidRPr="00426E00">
        <w:rPr>
          <w:rFonts w:ascii="Century Gothic" w:eastAsia="Times New Roman" w:hAnsi="Century Gothic"/>
          <w:sz w:val="24"/>
          <w:szCs w:val="24"/>
          <w:lang w:eastAsia="ru-RU"/>
        </w:rPr>
        <w:t>:</w:t>
      </w:r>
    </w:p>
    <w:p w:rsidR="00FF3DCB" w:rsidRPr="00FF3DCB" w:rsidRDefault="00FF3DCB" w:rsidP="00FF3DCB">
      <w:pPr>
        <w:pStyle w:val="a6"/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FF3DCB">
        <w:rPr>
          <w:rFonts w:ascii="Century Gothic" w:eastAsia="Times New Roman" w:hAnsi="Century Gothic"/>
          <w:b/>
          <w:sz w:val="24"/>
          <w:szCs w:val="24"/>
          <w:lang w:eastAsia="ru-RU"/>
        </w:rPr>
        <w:t>образование, физическая культура и спорт, молодежная политика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3 программы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3614,56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 Факт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3525,59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97,54 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>
        <w:rPr>
          <w:rFonts w:ascii="Century Gothic" w:eastAsia="Times New Roman" w:hAnsi="Century Gothic"/>
          <w:sz w:val="24"/>
          <w:szCs w:val="24"/>
          <w:lang w:eastAsia="ru-RU"/>
        </w:rPr>
        <w:t>)</w:t>
      </w:r>
    </w:p>
    <w:p w:rsidR="008E5675" w:rsidRPr="006B7AD4" w:rsidRDefault="008E5675" w:rsidP="00FF3DCB">
      <w:pPr>
        <w:pStyle w:val="a6"/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B7AD4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социальная </w:t>
      </w:r>
      <w:r w:rsidR="003829B1">
        <w:rPr>
          <w:rFonts w:ascii="Century Gothic" w:eastAsia="Times New Roman" w:hAnsi="Century Gothic"/>
          <w:b/>
          <w:sz w:val="24"/>
          <w:szCs w:val="24"/>
          <w:lang w:eastAsia="ru-RU"/>
        </w:rPr>
        <w:t>поддержка</w:t>
      </w:r>
      <w:r w:rsidRPr="006B7AD4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населения</w:t>
      </w:r>
      <w:r w:rsidR="00F56DB8" w:rsidRPr="006B7AD4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– 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а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1550,01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 Факт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1526,01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98,45 </w:t>
      </w:r>
      <w:r w:rsidRPr="006B7AD4">
        <w:rPr>
          <w:rFonts w:ascii="Century Gothic" w:eastAsia="Times New Roman" w:hAnsi="Century Gothic"/>
          <w:sz w:val="24"/>
          <w:szCs w:val="24"/>
          <w:lang w:eastAsia="ru-RU"/>
        </w:rPr>
        <w:t>%);</w:t>
      </w:r>
    </w:p>
    <w:p w:rsidR="008E5675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lastRenderedPageBreak/>
        <w:t>культура и туризм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050FBC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050FBC">
        <w:rPr>
          <w:rFonts w:ascii="Century Gothic" w:eastAsia="Times New Roman" w:hAnsi="Century Gothic"/>
          <w:sz w:val="24"/>
          <w:szCs w:val="24"/>
          <w:lang w:eastAsia="ru-RU"/>
        </w:rPr>
        <w:t>а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284,37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 Факт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277,02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млн. руб.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97,41</w:t>
      </w:r>
      <w:r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);</w:t>
      </w:r>
    </w:p>
    <w:p w:rsidR="008E5675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80143B">
        <w:rPr>
          <w:rFonts w:ascii="Century Gothic" w:eastAsia="Times New Roman" w:hAnsi="Century Gothic"/>
          <w:b/>
          <w:sz w:val="24"/>
          <w:szCs w:val="24"/>
          <w:lang w:eastAsia="ru-RU"/>
        </w:rPr>
        <w:t>жилищно-коммунальное хозяйство</w:t>
      </w:r>
      <w:r w:rsidR="004B68FE" w:rsidRPr="0080143B">
        <w:rPr>
          <w:rFonts w:ascii="Century Gothic" w:eastAsia="Times New Roman" w:hAnsi="Century Gothic"/>
          <w:b/>
          <w:sz w:val="24"/>
          <w:szCs w:val="24"/>
          <w:lang w:eastAsia="ru-RU"/>
        </w:rPr>
        <w:t>,</w:t>
      </w:r>
      <w:r w:rsidR="003829B1" w:rsidRPr="0080143B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</w:t>
      </w:r>
      <w:r w:rsidR="004B68FE" w:rsidRPr="0080143B">
        <w:rPr>
          <w:rFonts w:ascii="Century Gothic" w:eastAsia="Times New Roman" w:hAnsi="Century Gothic"/>
          <w:b/>
          <w:sz w:val="24"/>
          <w:szCs w:val="24"/>
          <w:lang w:eastAsia="ru-RU"/>
        </w:rPr>
        <w:t>инфраструктура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80143B">
        <w:rPr>
          <w:rFonts w:ascii="Century Gothic" w:eastAsia="Times New Roman" w:hAnsi="Century Gothic"/>
          <w:sz w:val="24"/>
          <w:szCs w:val="24"/>
          <w:lang w:eastAsia="ru-RU"/>
        </w:rPr>
        <w:t>8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программ (План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936,85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млн.руб.; Факт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838,01</w:t>
      </w:r>
      <w:r w:rsidR="0080143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млн. руб.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89,45 </w:t>
      </w:r>
      <w:r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</w:t>
      </w:r>
    </w:p>
    <w:p w:rsidR="004B68FE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содействие экономическому развитию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050FBC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ы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План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2,74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млн.руб.; Факт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1,84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 руб.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67,02 </w:t>
      </w:r>
      <w:r w:rsidR="004B68FE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4B68FE" w:rsidRPr="006D6355">
        <w:rPr>
          <w:rFonts w:ascii="Century Gothic" w:eastAsia="Times New Roman" w:hAnsi="Century Gothic"/>
          <w:sz w:val="24"/>
          <w:szCs w:val="24"/>
          <w:lang w:eastAsia="ru-RU"/>
        </w:rPr>
        <w:t>)</w:t>
      </w:r>
    </w:p>
    <w:p w:rsidR="008E5675" w:rsidRPr="004B68FE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4B68FE">
        <w:rPr>
          <w:rFonts w:ascii="Century Gothic" w:eastAsia="Times New Roman" w:hAnsi="Century Gothic"/>
          <w:b/>
          <w:sz w:val="24"/>
          <w:szCs w:val="24"/>
          <w:lang w:eastAsia="ru-RU"/>
        </w:rPr>
        <w:t>обеспечение доступным и комфортным жильем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461A54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461A54">
        <w:rPr>
          <w:rFonts w:ascii="Century Gothic" w:eastAsia="Times New Roman" w:hAnsi="Century Gothic"/>
          <w:sz w:val="24"/>
          <w:szCs w:val="24"/>
          <w:lang w:eastAsia="ru-RU"/>
        </w:rPr>
        <w:t>ы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55,02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 Факт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28,92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 xml:space="preserve">52,56 </w:t>
      </w:r>
      <w:r w:rsidRPr="004B68FE">
        <w:rPr>
          <w:rFonts w:ascii="Century Gothic" w:eastAsia="Times New Roman" w:hAnsi="Century Gothic"/>
          <w:sz w:val="24"/>
          <w:szCs w:val="24"/>
          <w:lang w:eastAsia="ru-RU"/>
        </w:rPr>
        <w:t>%)</w:t>
      </w:r>
      <w:r w:rsidR="00461A54">
        <w:rPr>
          <w:rFonts w:ascii="Century Gothic" w:eastAsia="Times New Roman" w:hAnsi="Century Gothic"/>
          <w:sz w:val="24"/>
          <w:szCs w:val="24"/>
          <w:lang w:eastAsia="ru-RU"/>
        </w:rPr>
        <w:t>;</w:t>
      </w:r>
    </w:p>
    <w:p w:rsidR="008E5675" w:rsidRPr="006D6355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безопасность жизнедеятельности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2 программы (План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19,88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млн.руб. Факт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19,18</w:t>
      </w:r>
      <w:r w:rsidR="009C0C1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96,51</w:t>
      </w:r>
      <w:r w:rsidR="00390676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);</w:t>
      </w:r>
    </w:p>
    <w:p w:rsidR="008E5675" w:rsidRDefault="00F3366D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организация </w:t>
      </w:r>
      <w:r w:rsidR="008E5675"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>муниципально</w:t>
      </w:r>
      <w:r>
        <w:rPr>
          <w:rFonts w:ascii="Century Gothic" w:eastAsia="Times New Roman" w:hAnsi="Century Gothic"/>
          <w:b/>
          <w:sz w:val="24"/>
          <w:szCs w:val="24"/>
          <w:lang w:eastAsia="ru-RU"/>
        </w:rPr>
        <w:t>го</w:t>
      </w:r>
      <w:r w:rsidR="008E5675"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управлени</w:t>
      </w:r>
      <w:r w:rsidR="00971CFA">
        <w:rPr>
          <w:rFonts w:ascii="Century Gothic" w:eastAsia="Times New Roman" w:hAnsi="Century Gothic"/>
          <w:b/>
          <w:sz w:val="24"/>
          <w:szCs w:val="24"/>
          <w:lang w:eastAsia="ru-RU"/>
        </w:rPr>
        <w:t>я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про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>грамм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(План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137,35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 Факт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137,03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 xml:space="preserve">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99,77</w:t>
      </w:r>
      <w:r w:rsidR="008E5675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>).</w:t>
      </w:r>
    </w:p>
    <w:p w:rsidR="00C71BAA" w:rsidRPr="006D6355" w:rsidRDefault="00C71BAA" w:rsidP="00FF3DCB">
      <w:pPr>
        <w:spacing w:after="0" w:line="240" w:lineRule="auto"/>
        <w:ind w:left="927" w:right="-1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Pr="006D6355" w:rsidRDefault="008E5675" w:rsidP="00FF3DCB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Фактический объем </w:t>
      </w:r>
      <w:r w:rsidR="009C492B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финансирования программ в 20</w:t>
      </w:r>
      <w:r w:rsidR="00971BCD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20</w:t>
      </w:r>
      <w:r w:rsidR="009C492B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году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из бюджета города составил </w:t>
      </w:r>
      <w:r w:rsidR="00B806DB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1781,12</w:t>
      </w:r>
      <w:r w:rsidR="00CE52A7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млн.руб.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, или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91,81%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от уточненного плана 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(в 201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9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 xml:space="preserve"> г.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92,16</w:t>
      </w:r>
      <w:r w:rsidR="003E10CB">
        <w:rPr>
          <w:rFonts w:ascii="Century Gothic" w:eastAsia="Times New Roman" w:hAnsi="Century Gothic"/>
          <w:sz w:val="24"/>
          <w:szCs w:val="24"/>
          <w:lang w:eastAsia="ru-RU"/>
        </w:rPr>
        <w:t>%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).</w:t>
      </w:r>
    </w:p>
    <w:p w:rsidR="00FC1277" w:rsidRDefault="00FC1277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Общая сумма затрат на реализацию </w:t>
      </w:r>
      <w:r w:rsidR="005968BF" w:rsidRPr="00367DDC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386EF3"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Pr="00367DDC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в 20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</w:t>
      </w:r>
      <w:r w:rsidRPr="00367DDC">
        <w:rPr>
          <w:rFonts w:ascii="Century Gothic" w:eastAsia="Times New Roman" w:hAnsi="Century Gothic"/>
          <w:sz w:val="24"/>
          <w:szCs w:val="24"/>
          <w:u w:val="single"/>
          <w:lang w:eastAsia="ru-RU"/>
        </w:rPr>
        <w:t>по данным департаментов-исполнителей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составила </w:t>
      </w:r>
      <w:r w:rsidR="00B806DB">
        <w:rPr>
          <w:rFonts w:ascii="Century Gothic" w:eastAsia="Times New Roman" w:hAnsi="Century Gothic"/>
          <w:b/>
          <w:sz w:val="24"/>
          <w:szCs w:val="24"/>
          <w:lang w:eastAsia="ru-RU"/>
        </w:rPr>
        <w:t>6353,61</w:t>
      </w:r>
      <w:r w:rsidRPr="006D6355">
        <w:rPr>
          <w:rFonts w:ascii="Century Gothic" w:eastAsia="Times New Roman" w:hAnsi="Century Gothic"/>
          <w:b/>
          <w:sz w:val="24"/>
          <w:szCs w:val="24"/>
          <w:lang w:eastAsia="ru-RU"/>
        </w:rPr>
        <w:t xml:space="preserve"> млн.руб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., в т.ч.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средства городского бюджета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1635,25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млн.руб.,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средства областного бюджета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3355,14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млн.руб., </w:t>
      </w:r>
    </w:p>
    <w:p w:rsidR="008E5675" w:rsidRPr="006D635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средства федерального бюджета –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1293,57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млн.руб., </w:t>
      </w:r>
    </w:p>
    <w:p w:rsidR="008E5675" w:rsidRDefault="008E5675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другие источники </w:t>
      </w:r>
      <w:r w:rsidR="00B806DB">
        <w:rPr>
          <w:rFonts w:ascii="Century Gothic" w:eastAsia="Times New Roman" w:hAnsi="Century Gothic"/>
          <w:sz w:val="24"/>
          <w:szCs w:val="24"/>
          <w:lang w:eastAsia="ru-RU"/>
        </w:rPr>
        <w:t>69,65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млн.</w:t>
      </w:r>
      <w:r w:rsidR="00695E53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руб. </w:t>
      </w:r>
    </w:p>
    <w:p w:rsidR="00916244" w:rsidRDefault="00916244" w:rsidP="00FF3DCB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916244" w:rsidRDefault="000355D6" w:rsidP="00617C00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noProof/>
          <w:sz w:val="24"/>
          <w:szCs w:val="24"/>
          <w:lang w:eastAsia="ru-RU"/>
        </w:rPr>
        <w:drawing>
          <wp:inline distT="0" distB="0" distL="0" distR="0">
            <wp:extent cx="4572762" cy="2879217"/>
            <wp:effectExtent l="12192" t="6096" r="6096" b="762"/>
            <wp:docPr id="3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6244" w:rsidRDefault="00916244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C71BAA" w:rsidRPr="008A79DD" w:rsidRDefault="00C71BAA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Доля фактических объемов финансирования программ, направленная на мероприятия по развитию (мероприятия непосредственно МП) составила </w:t>
      </w:r>
      <w:r w:rsidR="00617C00">
        <w:rPr>
          <w:rFonts w:ascii="Century Gothic" w:eastAsia="Times New Roman" w:hAnsi="Century Gothic"/>
          <w:sz w:val="24"/>
          <w:szCs w:val="24"/>
          <w:lang w:eastAsia="ru-RU"/>
        </w:rPr>
        <w:t xml:space="preserve">70,65 </w:t>
      </w:r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>% (</w:t>
      </w:r>
      <w:r w:rsidR="00617C00">
        <w:rPr>
          <w:rFonts w:ascii="Century Gothic" w:eastAsia="Times New Roman" w:hAnsi="Century Gothic"/>
          <w:sz w:val="24"/>
          <w:szCs w:val="24"/>
          <w:lang w:eastAsia="ru-RU"/>
        </w:rPr>
        <w:t xml:space="preserve">4664,24 </w:t>
      </w:r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 xml:space="preserve">млн.руб.), доля объемов финансирования, направленная на обеспечение текущей деятельности (мероприятия ВЦП) составила </w:t>
      </w:r>
      <w:r w:rsidR="00617C00">
        <w:rPr>
          <w:rFonts w:ascii="Century Gothic" w:eastAsia="Times New Roman" w:hAnsi="Century Gothic"/>
          <w:sz w:val="24"/>
          <w:szCs w:val="24"/>
          <w:lang w:eastAsia="ru-RU"/>
        </w:rPr>
        <w:t>29,35</w:t>
      </w:r>
      <w:r w:rsidR="008A79DD" w:rsidRPr="008A79DD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>% (</w:t>
      </w:r>
      <w:r w:rsidR="00761761">
        <w:rPr>
          <w:rFonts w:ascii="Century Gothic" w:eastAsia="Times New Roman" w:hAnsi="Century Gothic"/>
          <w:sz w:val="24"/>
          <w:szCs w:val="24"/>
          <w:lang w:eastAsia="ru-RU"/>
        </w:rPr>
        <w:t>1937,28</w:t>
      </w:r>
      <w:r w:rsidR="00753442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8A79DD">
        <w:rPr>
          <w:rFonts w:ascii="Century Gothic" w:eastAsia="Times New Roman" w:hAnsi="Century Gothic"/>
          <w:sz w:val="24"/>
          <w:szCs w:val="24"/>
          <w:lang w:eastAsia="ru-RU"/>
        </w:rPr>
        <w:t>млн.руб.).</w:t>
      </w:r>
    </w:p>
    <w:p w:rsidR="00C71BAA" w:rsidRDefault="00C71BAA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AE7F92" w:rsidRDefault="008E5675" w:rsidP="008E5675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lastRenderedPageBreak/>
        <w:t>Детальный отчет о выполненных мероприятиях, их количественных характеристиках, стоимости и источник</w:t>
      </w:r>
      <w:r w:rsidR="00FF3DCB">
        <w:rPr>
          <w:rFonts w:ascii="Century Gothic" w:eastAsia="Times New Roman" w:hAnsi="Century Gothic"/>
          <w:sz w:val="24"/>
          <w:szCs w:val="24"/>
          <w:lang w:eastAsia="ru-RU"/>
        </w:rPr>
        <w:t>ах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финансирования</w:t>
      </w:r>
      <w:r w:rsidR="00FF3DCB">
        <w:rPr>
          <w:rFonts w:ascii="Century Gothic" w:eastAsia="Times New Roman" w:hAnsi="Century Gothic"/>
          <w:sz w:val="24"/>
          <w:szCs w:val="24"/>
          <w:lang w:eastAsia="ru-RU"/>
        </w:rPr>
        <w:t xml:space="preserve"> всех МП и ВЦП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приведен в Приложении </w:t>
      </w:r>
      <w:r w:rsidR="003228B2">
        <w:rPr>
          <w:rFonts w:ascii="Century Gothic" w:eastAsia="Times New Roman" w:hAnsi="Century Gothic"/>
          <w:sz w:val="24"/>
          <w:szCs w:val="24"/>
          <w:lang w:eastAsia="ru-RU"/>
        </w:rPr>
        <w:t>2</w:t>
      </w:r>
      <w:r w:rsidR="006362BC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FB3AED" w:rsidRPr="00FB3AED" w:rsidRDefault="005968BF" w:rsidP="005968BF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>В 20</w:t>
      </w:r>
      <w:r w:rsidR="00761761">
        <w:rPr>
          <w:rFonts w:ascii="Century Gothic" w:eastAsia="Times New Roman" w:hAnsi="Century Gothic"/>
          <w:sz w:val="24"/>
          <w:szCs w:val="24"/>
          <w:lang w:eastAsia="ru-RU"/>
        </w:rPr>
        <w:t xml:space="preserve">20 </w:t>
      </w:r>
      <w:r w:rsidR="006362BC">
        <w:rPr>
          <w:rFonts w:ascii="Century Gothic" w:eastAsia="Times New Roman" w:hAnsi="Century Gothic"/>
          <w:sz w:val="24"/>
          <w:szCs w:val="24"/>
          <w:lang w:eastAsia="ru-RU"/>
        </w:rPr>
        <w:t>году</w:t>
      </w:r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 xml:space="preserve"> в рамках </w:t>
      </w:r>
      <w:r w:rsidR="00D35B83">
        <w:rPr>
          <w:rFonts w:ascii="Century Gothic" w:eastAsia="Times New Roman" w:hAnsi="Century Gothic"/>
          <w:sz w:val="24"/>
          <w:szCs w:val="24"/>
          <w:lang w:eastAsia="ru-RU"/>
        </w:rPr>
        <w:t>1</w:t>
      </w:r>
      <w:r w:rsidR="00761761">
        <w:rPr>
          <w:rFonts w:ascii="Century Gothic" w:eastAsia="Times New Roman" w:hAnsi="Century Gothic"/>
          <w:sz w:val="24"/>
          <w:szCs w:val="24"/>
          <w:lang w:eastAsia="ru-RU"/>
        </w:rPr>
        <w:t>6</w:t>
      </w:r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программ, осуществлялось</w:t>
      </w:r>
      <w:r w:rsidR="00761761">
        <w:rPr>
          <w:rFonts w:ascii="Century Gothic" w:eastAsia="Times New Roman" w:hAnsi="Century Gothic"/>
          <w:sz w:val="24"/>
          <w:szCs w:val="24"/>
          <w:lang w:eastAsia="ru-RU"/>
        </w:rPr>
        <w:t xml:space="preserve"> софинансирование из областного, </w:t>
      </w:r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>федерального бюджетов</w:t>
      </w:r>
      <w:r w:rsidR="00761761">
        <w:rPr>
          <w:rFonts w:ascii="Century Gothic" w:eastAsia="Times New Roman" w:hAnsi="Century Gothic"/>
          <w:sz w:val="24"/>
          <w:szCs w:val="24"/>
          <w:lang w:eastAsia="ru-RU"/>
        </w:rPr>
        <w:t xml:space="preserve">, а также внебюджетных источников </w:t>
      </w:r>
      <w:r w:rsidR="0077714B" w:rsidRPr="006362BC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362BC">
        <w:rPr>
          <w:rFonts w:ascii="Century Gothic" w:eastAsia="Times New Roman" w:hAnsi="Century Gothic"/>
          <w:sz w:val="24"/>
          <w:szCs w:val="24"/>
          <w:lang w:eastAsia="ru-RU"/>
        </w:rPr>
        <w:t xml:space="preserve"> (таблица 1).</w:t>
      </w:r>
      <w:bookmarkStart w:id="0" w:name="_GoBack"/>
      <w:bookmarkEnd w:id="0"/>
    </w:p>
    <w:p w:rsidR="008A79DD" w:rsidRDefault="005968BF" w:rsidP="005968BF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Общая сумма</w:t>
      </w:r>
      <w:r w:rsidR="00FB3AED" w:rsidRPr="00FB3AED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</w:t>
      </w:r>
      <w:r w:rsidR="00FB3AED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по всем программам в целом по привлечению </w:t>
      </w:r>
      <w:r w:rsidRPr="006D6355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 xml:space="preserve"> средств из вышестоящих бюджетов и внебюджетных источников составила </w:t>
      </w:r>
      <w:r w:rsidR="00797B5C">
        <w:rPr>
          <w:rFonts w:ascii="Century Gothic" w:eastAsia="Times New Roman" w:hAnsi="Century Gothic"/>
          <w:b/>
          <w:i/>
          <w:color w:val="000000"/>
          <w:sz w:val="24"/>
          <w:szCs w:val="24"/>
          <w:lang w:eastAsia="ru-RU"/>
        </w:rPr>
        <w:t>4820,36</w:t>
      </w:r>
      <w:r w:rsidRPr="00BE0E54">
        <w:rPr>
          <w:rFonts w:ascii="Century Gothic" w:eastAsia="Times New Roman" w:hAnsi="Century Gothic"/>
          <w:b/>
          <w:i/>
          <w:color w:val="000000"/>
          <w:sz w:val="24"/>
          <w:szCs w:val="24"/>
          <w:lang w:eastAsia="ru-RU"/>
        </w:rPr>
        <w:t xml:space="preserve"> млн. </w:t>
      </w:r>
      <w:r w:rsidRPr="00761761">
        <w:rPr>
          <w:rFonts w:ascii="Century Gothic" w:eastAsia="Times New Roman" w:hAnsi="Century Gothic"/>
          <w:b/>
          <w:i/>
          <w:sz w:val="24"/>
          <w:szCs w:val="24"/>
          <w:lang w:eastAsia="ru-RU"/>
        </w:rPr>
        <w:t>руб</w:t>
      </w:r>
      <w:r w:rsidR="00761761" w:rsidRPr="00761761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761761">
        <w:rPr>
          <w:rFonts w:ascii="Century Gothic" w:eastAsia="Times New Roman" w:hAnsi="Century Gothic"/>
          <w:color w:val="FF0000"/>
          <w:sz w:val="24"/>
          <w:szCs w:val="24"/>
          <w:lang w:eastAsia="ru-RU"/>
        </w:rPr>
        <w:t xml:space="preserve"> </w:t>
      </w:r>
    </w:p>
    <w:tbl>
      <w:tblPr>
        <w:tblW w:w="10182" w:type="dxa"/>
        <w:tblInd w:w="89" w:type="dxa"/>
        <w:tblLayout w:type="fixed"/>
        <w:tblLook w:val="04A0"/>
      </w:tblPr>
      <w:tblGrid>
        <w:gridCol w:w="586"/>
        <w:gridCol w:w="134"/>
        <w:gridCol w:w="5111"/>
        <w:gridCol w:w="1134"/>
        <w:gridCol w:w="992"/>
        <w:gridCol w:w="142"/>
        <w:gridCol w:w="1134"/>
        <w:gridCol w:w="949"/>
      </w:tblGrid>
      <w:tr w:rsidR="00B14C92" w:rsidRPr="00B14C92" w:rsidTr="00F973E5">
        <w:trPr>
          <w:trHeight w:val="20"/>
        </w:trPr>
        <w:tc>
          <w:tcPr>
            <w:tcW w:w="72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  <w:bookmarkStart w:id="1" w:name="RANGE!A1:F19"/>
            <w:bookmarkEnd w:id="1"/>
          </w:p>
        </w:tc>
        <w:tc>
          <w:tcPr>
            <w:tcW w:w="511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</w:p>
        </w:tc>
        <w:tc>
          <w:tcPr>
            <w:tcW w:w="2225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B14C92" w:rsidRDefault="00B14C92" w:rsidP="00B14C92">
            <w:pPr>
              <w:spacing w:after="0" w:line="240" w:lineRule="auto"/>
              <w:ind w:hanging="108"/>
              <w:jc w:val="right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lang w:eastAsia="ru-RU"/>
              </w:rPr>
              <w:t>Таблица 1</w:t>
            </w:r>
          </w:p>
        </w:tc>
      </w:tr>
      <w:tr w:rsidR="00B14C92" w:rsidRPr="00B14C92" w:rsidTr="00F973E5">
        <w:trPr>
          <w:trHeight w:val="20"/>
        </w:trPr>
        <w:tc>
          <w:tcPr>
            <w:tcW w:w="10182" w:type="dxa"/>
            <w:gridSpan w:val="8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B14C92" w:rsidRPr="00B14C92" w:rsidRDefault="00B14C92" w:rsidP="008E369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Перечень программ, </w:t>
            </w:r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реализация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которых осуществля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л</w:t>
            </w:r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сь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при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софинансировани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средств вышестоящих бюджетов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 xml:space="preserve"> и других источников 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(по данным департаментов</w:t>
            </w:r>
            <w:r w:rsidR="00367DDC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-исполнителей</w:t>
            </w:r>
            <w:r w:rsidRPr="00B14C92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)</w:t>
            </w:r>
            <w:r w:rsidR="00311ABB">
              <w:rPr>
                <w:rFonts w:ascii="Century Gothic" w:eastAsia="Times New Roman" w:hAnsi="Century Gothic" w:cs="Calibri"/>
                <w:b/>
                <w:bCs/>
                <w:color w:val="000000"/>
                <w:sz w:val="26"/>
                <w:szCs w:val="26"/>
                <w:lang w:eastAsia="ru-RU"/>
              </w:rPr>
              <w:t>, млн.руб.</w:t>
            </w:r>
          </w:p>
        </w:tc>
      </w:tr>
      <w:tr w:rsidR="00B14C92" w:rsidRPr="00B14C92" w:rsidTr="009616B2">
        <w:trPr>
          <w:trHeight w:val="20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Pr="00B14C92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 w:rsidR="002406F0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М</w:t>
            </w: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П</w:t>
            </w:r>
            <w:r w:rsidR="002406F0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, ВЦП</w:t>
            </w:r>
          </w:p>
        </w:tc>
        <w:tc>
          <w:tcPr>
            <w:tcW w:w="435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362BC" w:rsidRDefault="00B14C92" w:rsidP="0075344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Поступление средств</w:t>
            </w:r>
          </w:p>
          <w:p w:rsidR="00B14C92" w:rsidRPr="00B14C92" w:rsidRDefault="00761761" w:rsidP="0076176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 в 2020</w:t>
            </w:r>
            <w:r w:rsidR="006362BC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14C92" w:rsidRPr="00B14C92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г.</w:t>
            </w:r>
            <w:r w:rsidR="00697AF1"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  <w:t>, млн. руб.</w:t>
            </w:r>
          </w:p>
        </w:tc>
      </w:tr>
      <w:tr w:rsidR="00B14C92" w:rsidRPr="00B14C92" w:rsidTr="009616B2">
        <w:trPr>
          <w:trHeight w:val="20"/>
        </w:trPr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311ABB" w:rsidRDefault="00B14C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ГБ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311ABB" w:rsidRDefault="00AE7F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311ABB" w:rsidRDefault="00AE7F92" w:rsidP="00E176FF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C92" w:rsidRPr="00311ABB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 xml:space="preserve">Др. </w:t>
            </w:r>
          </w:p>
          <w:p w:rsidR="00B14C92" w:rsidRPr="00311ABB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311ABB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ср-ва</w:t>
            </w:r>
          </w:p>
        </w:tc>
      </w:tr>
      <w:tr w:rsidR="00B14C92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14C92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МП «Развитие общего образования в городском округе город Рыбинск</w:t>
            </w:r>
            <w:r w:rsidR="00761761" w:rsidRPr="00983B0E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»</w:t>
            </w:r>
            <w:r w:rsidR="00761761" w:rsidRPr="00983B0E">
              <w:rPr>
                <w:rFonts w:ascii="Century Gothic" w:eastAsia="Times New Roman" w:hAnsi="Century Gothic" w:cs="Calibri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C92" w:rsidRPr="00983B0E" w:rsidRDefault="00761761" w:rsidP="007411F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665,69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761761" w:rsidP="007411F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2105,18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761761" w:rsidP="007411F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469,39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B14C92" w:rsidRPr="00983B0E" w:rsidTr="009616B2">
        <w:trPr>
          <w:trHeight w:val="87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6B2" w:rsidRPr="00983B0E" w:rsidRDefault="00CB4E13" w:rsidP="00C9556D">
            <w:pPr>
              <w:spacing w:after="0" w:line="240" w:lineRule="auto"/>
              <w:ind w:right="-250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МП «</w:t>
            </w:r>
            <w:r w:rsidR="00B14C92" w:rsidRPr="00983B0E">
              <w:rPr>
                <w:rFonts w:ascii="Century Gothic" w:eastAsia="Times New Roman" w:hAnsi="Century Gothic" w:cs="Calibri"/>
                <w:lang w:eastAsia="ru-RU"/>
              </w:rPr>
              <w:t>Развитие физической культуры и спорта</w:t>
            </w:r>
          </w:p>
          <w:p w:rsidR="00A427F7" w:rsidRPr="00983B0E" w:rsidRDefault="00B14C92" w:rsidP="00C9556D">
            <w:pPr>
              <w:spacing w:after="0" w:line="240" w:lineRule="auto"/>
              <w:ind w:right="-250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 xml:space="preserve"> в городском округе город Рыбинск</w:t>
            </w:r>
            <w:r w:rsidR="00C9556D" w:rsidRPr="00983B0E">
              <w:rPr>
                <w:rFonts w:ascii="Century Gothic" w:eastAsia="Times New Roman" w:hAnsi="Century Gothic" w:cs="Calibri"/>
                <w:lang w:eastAsia="ru-RU"/>
              </w:rPr>
              <w:t xml:space="preserve"> </w:t>
            </w:r>
          </w:p>
          <w:p w:rsidR="00B14C92" w:rsidRPr="00983B0E" w:rsidRDefault="00C9556D" w:rsidP="00C9556D">
            <w:pPr>
              <w:spacing w:after="0" w:line="240" w:lineRule="auto"/>
              <w:ind w:right="-250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Ярославской области</w:t>
            </w:r>
            <w:r w:rsidR="00CB4E13" w:rsidRPr="00983B0E">
              <w:rPr>
                <w:rFonts w:ascii="Century Gothic" w:eastAsia="Times New Roman" w:hAnsi="Century Gothic" w:cs="Calibri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A427F7" w:rsidP="00E61A96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250,02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A427F7" w:rsidP="0075344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A427F7" w:rsidP="00D4465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53,16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0,00</w:t>
            </w:r>
          </w:p>
        </w:tc>
      </w:tr>
      <w:tr w:rsidR="00B14C92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B14C92" w:rsidRDefault="00B14C9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CB4E13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МП «</w:t>
            </w:r>
            <w:r w:rsidR="00E61A96" w:rsidRPr="00983B0E">
              <w:rPr>
                <w:rFonts w:ascii="Century Gothic" w:eastAsia="Times New Roman" w:hAnsi="Century Gothic" w:cs="Calibri"/>
                <w:lang w:eastAsia="ru-RU"/>
              </w:rPr>
              <w:t>Реализация м</w:t>
            </w:r>
            <w:r w:rsidR="00B14C92" w:rsidRPr="00983B0E">
              <w:rPr>
                <w:rFonts w:ascii="Century Gothic" w:eastAsia="Times New Roman" w:hAnsi="Century Gothic" w:cs="Calibri"/>
                <w:lang w:eastAsia="ru-RU"/>
              </w:rPr>
              <w:t>олодежн</w:t>
            </w:r>
            <w:r w:rsidR="00E61A96" w:rsidRPr="00983B0E">
              <w:rPr>
                <w:rFonts w:ascii="Century Gothic" w:eastAsia="Times New Roman" w:hAnsi="Century Gothic" w:cs="Calibri"/>
                <w:lang w:eastAsia="ru-RU"/>
              </w:rPr>
              <w:t>ой</w:t>
            </w:r>
            <w:r w:rsidR="00B14C92" w:rsidRPr="00983B0E">
              <w:rPr>
                <w:rFonts w:ascii="Century Gothic" w:eastAsia="Times New Roman" w:hAnsi="Century Gothic" w:cs="Calibri"/>
                <w:lang w:eastAsia="ru-RU"/>
              </w:rPr>
              <w:t xml:space="preserve"> политик</w:t>
            </w:r>
            <w:r w:rsidR="00E61A96" w:rsidRPr="00983B0E">
              <w:rPr>
                <w:rFonts w:ascii="Century Gothic" w:eastAsia="Times New Roman" w:hAnsi="Century Gothic" w:cs="Calibri"/>
                <w:lang w:eastAsia="ru-RU"/>
              </w:rPr>
              <w:t>и</w:t>
            </w:r>
            <w:r w:rsidR="00B14C92" w:rsidRPr="00983B0E">
              <w:rPr>
                <w:rFonts w:ascii="Century Gothic" w:eastAsia="Times New Roman" w:hAnsi="Century Gothic" w:cs="Calibri"/>
                <w:lang w:eastAsia="ru-RU"/>
              </w:rPr>
              <w:t xml:space="preserve"> в городском округе город Рыбинск</w:t>
            </w:r>
            <w:r w:rsidR="00A427F7" w:rsidRPr="00983B0E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»</w:t>
            </w:r>
            <w:r w:rsidR="00B14C92" w:rsidRPr="00983B0E">
              <w:rPr>
                <w:rFonts w:ascii="Century Gothic" w:eastAsia="Times New Roman" w:hAnsi="Century Gothic" w:cs="Calibri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A427F7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19,74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A427F7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21,89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AE7F92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C92" w:rsidRPr="00983B0E" w:rsidRDefault="00A427F7" w:rsidP="0004017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24,67</w:t>
            </w:r>
          </w:p>
        </w:tc>
      </w:tr>
      <w:tr w:rsidR="004A7107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4A7107" w:rsidP="00CB4E13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 xml:space="preserve">МП </w:t>
            </w:r>
            <w:r w:rsidR="00CB4E13" w:rsidRPr="00983B0E">
              <w:rPr>
                <w:rFonts w:ascii="Century Gothic" w:eastAsia="Times New Roman" w:hAnsi="Century Gothic" w:cs="Calibri"/>
                <w:lang w:eastAsia="ru-RU"/>
              </w:rPr>
              <w:t>«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Развитие культуры  в городском округе город Рыбинск</w:t>
            </w:r>
            <w:r w:rsidR="008020E1" w:rsidRPr="00983B0E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  <w:r w:rsidR="00CB4E13" w:rsidRPr="00983B0E">
              <w:rPr>
                <w:rFonts w:ascii="Century Gothic" w:eastAsia="Times New Roman" w:hAnsi="Century Gothic" w:cs="Calibri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A427F7" w:rsidP="004A7107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205,39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A427F7" w:rsidP="009168B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64,64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A427F7" w:rsidP="009168B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A427F7" w:rsidP="009168B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6,93</w:t>
            </w:r>
          </w:p>
        </w:tc>
      </w:tr>
      <w:tr w:rsidR="004A7107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ВЦП «Социальная поддержка населения  городского округа город Рыбинск</w:t>
            </w:r>
            <w:r w:rsidR="00F66A4C" w:rsidRPr="00983B0E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»</w:t>
            </w:r>
            <w:r w:rsidR="0079329F" w:rsidRPr="00983B0E">
              <w:rPr>
                <w:rFonts w:ascii="Century Gothic" w:eastAsia="Times New Roman" w:hAnsi="Century Gothic" w:cs="Calibri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66A4C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16,68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66A4C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945,03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66A4C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588,37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66A4C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CB4E13" w:rsidP="00B37D36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МП «</w:t>
            </w:r>
            <w:r w:rsidR="004A7107" w:rsidRPr="00983B0E">
              <w:rPr>
                <w:rFonts w:ascii="Century Gothic" w:eastAsia="Times New Roman" w:hAnsi="Century Gothic" w:cs="Calibri"/>
                <w:lang w:eastAsia="ru-RU"/>
              </w:rPr>
              <w:t>Формирование современной городской среды на территории городского округа город Рыбинск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»</w:t>
            </w:r>
            <w:r w:rsidR="005A61EA" w:rsidRPr="00983B0E">
              <w:rPr>
                <w:rFonts w:ascii="Century Gothic" w:eastAsia="Times New Roman" w:hAnsi="Century Gothic" w:cs="Calibri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66A4C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16,36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66A4C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66A4C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77,09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1D579C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695860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B14C92" w:rsidRDefault="00695860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983B0E" w:rsidRDefault="00695860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МП «Увековечение памяти погибших при защите Отечества»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983B0E" w:rsidRDefault="00F66A4C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983B0E" w:rsidRDefault="00F66A4C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60" w:rsidRPr="00983B0E" w:rsidRDefault="00695860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5860" w:rsidRPr="00983B0E" w:rsidRDefault="00695860" w:rsidP="00B835C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B14C9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017A0" w:rsidP="00EF2770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ВЦП Д</w:t>
            </w:r>
            <w:r w:rsidR="004A7107" w:rsidRPr="00983B0E">
              <w:rPr>
                <w:rFonts w:ascii="Century Gothic" w:eastAsia="Times New Roman" w:hAnsi="Century Gothic" w:cs="Calibri"/>
                <w:lang w:eastAsia="ru-RU"/>
              </w:rPr>
              <w:t>епартамента ЖКХ, транспорта и связи</w:t>
            </w:r>
            <w:r w:rsidR="009616B2" w:rsidRPr="00983B0E">
              <w:rPr>
                <w:rFonts w:ascii="Century Gothic" w:eastAsia="Times New Roman" w:hAnsi="Century Gothic" w:cs="Calibri"/>
                <w:lang w:eastAsia="ru-RU"/>
              </w:rPr>
              <w:t xml:space="preserve"> </w:t>
            </w:r>
            <w:r w:rsidR="00712F28" w:rsidRPr="00983B0E">
              <w:rPr>
                <w:rFonts w:ascii="Century Gothic" w:eastAsia="Times New Roman" w:hAnsi="Century Gothic" w:cs="Calibri"/>
                <w:lang w:eastAsia="ru-RU"/>
              </w:rPr>
              <w:t xml:space="preserve">Администрации городского округа город Рыбинск </w:t>
            </w:r>
            <w:r w:rsidR="004A7107" w:rsidRPr="00983B0E">
              <w:rPr>
                <w:rFonts w:ascii="Century Gothic" w:eastAsia="Times New Roman" w:hAnsi="Century Gothic" w:cs="Calibri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66A4C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178,16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F017A0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F017A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9A20E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CB4E13" w:rsidP="003A09BE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МП «</w:t>
            </w:r>
            <w:r w:rsidR="004A7107" w:rsidRPr="00983B0E">
              <w:rPr>
                <w:rFonts w:ascii="Century Gothic" w:eastAsia="Times New Roman" w:hAnsi="Century Gothic" w:cs="Calibri"/>
                <w:lang w:eastAsia="ru-RU"/>
              </w:rPr>
              <w:t xml:space="preserve">Развитие водохозяйственного комплекса 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городского округа город Рыбинск</w:t>
            </w:r>
            <w:r w:rsidR="00ED77FF" w:rsidRPr="00983B0E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24,44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38,06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93,18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B14C92" w:rsidRDefault="009A20E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4A7107" w:rsidP="00CB4E13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 xml:space="preserve">МП </w:t>
            </w:r>
            <w:r w:rsidR="00CB4E13" w:rsidRPr="00983B0E">
              <w:rPr>
                <w:rFonts w:ascii="Century Gothic" w:eastAsia="Times New Roman" w:hAnsi="Century Gothic" w:cs="Calibri"/>
                <w:lang w:eastAsia="ru-RU"/>
              </w:rPr>
              <w:t>«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Газификация индивидуального жилищного фонда городского округа город Рыбинск</w:t>
            </w:r>
            <w:r w:rsidR="00746650" w:rsidRPr="00983B0E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</w:t>
            </w:r>
            <w:r w:rsidR="00CB4E13" w:rsidRPr="00983B0E">
              <w:rPr>
                <w:rFonts w:ascii="Century Gothic" w:eastAsia="Times New Roman" w:hAnsi="Century Gothic" w:cs="Calibri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3,45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1D579C" w:rsidP="003A09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E176FF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</w:t>
            </w:r>
            <w:r w:rsidR="009A20E2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4A7107" w:rsidP="00CB4E1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lang w:eastAsia="ru-RU"/>
              </w:rPr>
              <w:t xml:space="preserve">МП </w:t>
            </w:r>
            <w:r w:rsidR="00CB4E13" w:rsidRPr="00983B0E">
              <w:rPr>
                <w:rFonts w:ascii="Century Gothic" w:eastAsia="Times New Roman" w:hAnsi="Century Gothic" w:cs="Calibri"/>
                <w:color w:val="000000"/>
                <w:lang w:eastAsia="ru-RU"/>
              </w:rPr>
              <w:t>«</w:t>
            </w:r>
            <w:r w:rsidRPr="00983B0E">
              <w:rPr>
                <w:rFonts w:ascii="Century Gothic" w:eastAsia="Times New Roman" w:hAnsi="Century Gothic" w:cs="Calibri"/>
                <w:color w:val="000000"/>
                <w:lang w:eastAsia="ru-RU"/>
              </w:rPr>
              <w:t>Развитие дорожного хозяйства  городского округа город Рыбинск</w:t>
            </w:r>
            <w:r w:rsidR="00D36B12" w:rsidRPr="00983B0E">
              <w:rPr>
                <w:rFonts w:ascii="Century Gothic" w:eastAsia="Times New Roman" w:hAnsi="Century Gothic" w:cs="Calibri"/>
                <w:color w:val="000000"/>
                <w:lang w:eastAsia="ru-RU"/>
              </w:rPr>
              <w:t xml:space="preserve"> Ярославской области</w:t>
            </w:r>
            <w:r w:rsidR="00CB4E13" w:rsidRPr="00983B0E">
              <w:rPr>
                <w:rFonts w:ascii="Century Gothic" w:eastAsia="Times New Roman" w:hAnsi="Century Gothic" w:cs="Calibri"/>
                <w:color w:val="000000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E50FB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181,22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214,09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E50FB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1D579C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E176FF" w:rsidRDefault="009A20E2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4A7107" w:rsidP="00EF277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lang w:eastAsia="ru-RU"/>
              </w:rPr>
              <w:t xml:space="preserve">ВЦП Управления строительства Администрации </w:t>
            </w:r>
            <w:r w:rsidR="00CB4E13" w:rsidRPr="00983B0E">
              <w:rPr>
                <w:rFonts w:ascii="Century Gothic" w:eastAsia="Times New Roman" w:hAnsi="Century Gothic" w:cs="Calibri"/>
                <w:color w:val="000000"/>
                <w:lang w:eastAsia="ru-RU"/>
              </w:rPr>
              <w:t>городского округа город Рыбинск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EF277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49,79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AD5155" w:rsidP="00EF277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AD515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9616B2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0355D6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0355D6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</w:t>
            </w:r>
            <w:r w:rsidR="009A20E2" w:rsidRPr="000355D6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4A7107" w:rsidP="00D36B12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МП</w:t>
            </w:r>
            <w:r w:rsidR="00CB4E13" w:rsidRPr="00983B0E">
              <w:rPr>
                <w:rFonts w:ascii="Century Gothic" w:eastAsia="Times New Roman" w:hAnsi="Century Gothic" w:cs="Calibri"/>
                <w:lang w:eastAsia="ru-RU"/>
              </w:rPr>
              <w:t xml:space="preserve"> «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Обеспечение доступным и комфортным жильем населения городского округа город Рыбинск</w:t>
            </w:r>
            <w:r w:rsidR="00D36B12" w:rsidRPr="00983B0E">
              <w:rPr>
                <w:rFonts w:ascii="Century Gothic" w:eastAsia="Times New Roman" w:hAnsi="Century Gothic" w:cs="Calibri"/>
                <w:lang w:eastAsia="ru-RU"/>
              </w:rPr>
              <w:t xml:space="preserve"> Ярославской области»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DB40A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6,12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19,89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4,89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AD515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4A7107" w:rsidRPr="00983B0E" w:rsidTr="009616B2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0355D6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0355D6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</w:t>
            </w:r>
            <w:r w:rsidR="009A20E2" w:rsidRPr="000355D6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4A7107" w:rsidP="00CB4E13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 xml:space="preserve">МП </w:t>
            </w:r>
            <w:r w:rsidR="00CB4E13" w:rsidRPr="00983B0E">
              <w:rPr>
                <w:rFonts w:ascii="Century Gothic" w:eastAsia="Times New Roman" w:hAnsi="Century Gothic" w:cs="Calibri"/>
                <w:lang w:eastAsia="ru-RU"/>
              </w:rPr>
              <w:t>«</w:t>
            </w:r>
            <w:r w:rsidRPr="00983B0E">
              <w:rPr>
                <w:rFonts w:ascii="Century Gothic" w:eastAsia="Times New Roman" w:hAnsi="Century Gothic" w:cs="Calibri"/>
                <w:lang w:eastAsia="ru-RU"/>
              </w:rPr>
              <w:t>Гражданское общество и открытая власть</w:t>
            </w:r>
            <w:r w:rsidR="00CB4E13" w:rsidRPr="00983B0E">
              <w:rPr>
                <w:rFonts w:ascii="Century Gothic" w:eastAsia="Times New Roman" w:hAnsi="Century Gothic" w:cs="Calibri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222856" w:rsidP="009A20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4A7107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AD5155" w:rsidRPr="00983B0E" w:rsidTr="009616B2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0355D6" w:rsidRDefault="00AD5155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0355D6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983B0E" w:rsidRDefault="00B001D1" w:rsidP="00B001D1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>МП «Переселение граждан из аварийного жилищного фонда в городском округе город Рыбинск Ярославской области»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983B0E" w:rsidRDefault="00B001D1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155" w:rsidRPr="00983B0E" w:rsidRDefault="00B001D1" w:rsidP="009A20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22,87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5155" w:rsidRPr="00983B0E" w:rsidRDefault="00EA093E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</w:tr>
      <w:tr w:rsidR="00B001D1" w:rsidRPr="00983B0E" w:rsidTr="009616B2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0355D6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</w:pPr>
            <w:r w:rsidRPr="000355D6">
              <w:rPr>
                <w:rFonts w:ascii="Century Gothic" w:eastAsia="Times New Roman" w:hAnsi="Century Gothic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983B0E" w:rsidRDefault="00B001D1" w:rsidP="00B001D1">
            <w:pPr>
              <w:spacing w:after="0" w:line="240" w:lineRule="auto"/>
              <w:rPr>
                <w:rFonts w:ascii="Century Gothic" w:eastAsia="Times New Roman" w:hAnsi="Century Gothic" w:cs="Calibri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lang w:eastAsia="ru-RU"/>
              </w:rPr>
              <w:t xml:space="preserve">МП «Энергоэффективность в городском округе город Рыбинск Ярославской области»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983B0E" w:rsidRDefault="00B001D1" w:rsidP="00BE59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3,45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D1" w:rsidRPr="00983B0E" w:rsidRDefault="00B001D1" w:rsidP="009A20E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1D1" w:rsidRPr="00983B0E" w:rsidRDefault="00B001D1" w:rsidP="00B14C92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sz w:val="24"/>
                <w:szCs w:val="24"/>
                <w:lang w:eastAsia="ru-RU"/>
              </w:rPr>
              <w:t>48,25</w:t>
            </w:r>
          </w:p>
        </w:tc>
      </w:tr>
      <w:tr w:rsidR="004A7107" w:rsidRPr="00983B0E" w:rsidTr="009616B2">
        <w:trPr>
          <w:trHeight w:val="75"/>
        </w:trPr>
        <w:tc>
          <w:tcPr>
            <w:tcW w:w="5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7107" w:rsidRPr="00983B0E" w:rsidRDefault="004A7107" w:rsidP="00B14C92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9616B2" w:rsidP="00DF67E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1628,77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9616B2" w:rsidP="00FB6BB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3423,52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9616B2" w:rsidP="00C30345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1316,99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7107" w:rsidRPr="00983B0E" w:rsidRDefault="009616B2" w:rsidP="00DF67EC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B0E">
              <w:rPr>
                <w:rFonts w:ascii="Century Gothic" w:eastAsia="Times New Roman" w:hAnsi="Century Gothic" w:cs="Calibri"/>
                <w:b/>
                <w:bCs/>
                <w:color w:val="000000"/>
                <w:sz w:val="24"/>
                <w:szCs w:val="24"/>
                <w:lang w:eastAsia="ru-RU"/>
              </w:rPr>
              <w:t>79,85</w:t>
            </w:r>
          </w:p>
        </w:tc>
      </w:tr>
    </w:tbl>
    <w:p w:rsidR="008E5675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В 20</w:t>
      </w:r>
      <w:r w:rsidR="009616B2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коэффициент привлечения средств вышестоящих бюджетов, а также внебюджетных источников на реализацию всех </w:t>
      </w:r>
      <w:r w:rsidR="002406F0">
        <w:rPr>
          <w:rFonts w:ascii="Century Gothic" w:eastAsia="Times New Roman" w:hAnsi="Century Gothic"/>
          <w:sz w:val="24"/>
          <w:szCs w:val="24"/>
          <w:lang w:eastAsia="ru-RU"/>
        </w:rPr>
        <w:t>МП и ВЦП</w:t>
      </w:r>
      <w:r w:rsidR="005968BF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составил </w:t>
      </w:r>
      <w:r w:rsidR="000D5895">
        <w:rPr>
          <w:rFonts w:ascii="Century Gothic" w:eastAsia="Times New Roman" w:hAnsi="Century Gothic"/>
          <w:b/>
          <w:sz w:val="24"/>
          <w:szCs w:val="24"/>
          <w:lang w:eastAsia="ru-RU"/>
        </w:rPr>
        <w:t>2,</w:t>
      </w:r>
      <w:r w:rsidR="00CB4E13">
        <w:rPr>
          <w:rFonts w:ascii="Century Gothic" w:eastAsia="Times New Roman" w:hAnsi="Century Gothic"/>
          <w:b/>
          <w:sz w:val="24"/>
          <w:szCs w:val="24"/>
          <w:lang w:eastAsia="ru-RU"/>
        </w:rPr>
        <w:t>96</w:t>
      </w:r>
    </w:p>
    <w:p w:rsidR="000763BD" w:rsidRDefault="000355D6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sz w:val="24"/>
          <w:szCs w:val="24"/>
          <w:lang w:eastAsia="ru-RU"/>
        </w:rPr>
      </w:pPr>
      <w:r>
        <w:rPr>
          <w:rFonts w:ascii="Century Gothic" w:eastAsia="Times New Roman" w:hAnsi="Century Gothic"/>
          <w:b/>
          <w:noProof/>
          <w:sz w:val="24"/>
          <w:szCs w:val="24"/>
          <w:lang w:eastAsia="ru-RU"/>
        </w:rPr>
        <w:drawing>
          <wp:inline distT="0" distB="0" distL="0" distR="0">
            <wp:extent cx="6296025" cy="2867025"/>
            <wp:effectExtent l="0" t="0" r="0" b="0"/>
            <wp:docPr id="4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90E92" w:rsidRDefault="008E5675" w:rsidP="00ED77FF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Основные </w:t>
      </w:r>
      <w:r w:rsidR="002406F0" w:rsidRPr="00983B0E">
        <w:rPr>
          <w:rFonts w:ascii="Century Gothic" w:eastAsia="Times New Roman" w:hAnsi="Century Gothic"/>
          <w:sz w:val="24"/>
          <w:szCs w:val="24"/>
          <w:lang w:eastAsia="ru-RU"/>
        </w:rPr>
        <w:t>объемы софинансирования из вышестоящих бюджетов</w:t>
      </w:r>
      <w:r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в 20</w:t>
      </w:r>
      <w:r w:rsidR="00797B5C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20 </w:t>
      </w:r>
      <w:r w:rsidRPr="00983B0E">
        <w:rPr>
          <w:rFonts w:ascii="Century Gothic" w:eastAsia="Times New Roman" w:hAnsi="Century Gothic"/>
          <w:sz w:val="24"/>
          <w:szCs w:val="24"/>
          <w:lang w:eastAsia="ru-RU"/>
        </w:rPr>
        <w:t>году были получены</w:t>
      </w:r>
      <w:r w:rsidR="00B14C92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по</w:t>
      </w:r>
      <w:r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B14C92" w:rsidRPr="00983B0E">
        <w:rPr>
          <w:rFonts w:ascii="Century Gothic" w:eastAsia="Times New Roman" w:hAnsi="Century Gothic"/>
          <w:sz w:val="24"/>
          <w:szCs w:val="24"/>
          <w:lang w:eastAsia="ru-RU"/>
        </w:rPr>
        <w:t>МП «Развитие общего образования в городском округе город Рыбинск</w:t>
      </w:r>
      <w:r w:rsidR="00234C96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Ярославской области</w:t>
      </w:r>
      <w:r w:rsidR="00B14C92" w:rsidRPr="00983B0E">
        <w:rPr>
          <w:rFonts w:ascii="Century Gothic" w:eastAsia="Times New Roman" w:hAnsi="Century Gothic"/>
          <w:sz w:val="24"/>
          <w:szCs w:val="24"/>
          <w:lang w:eastAsia="ru-RU"/>
        </w:rPr>
        <w:t>», ВЦП «Социальная поддержка населения г</w:t>
      </w:r>
      <w:r w:rsidR="00543DB7" w:rsidRPr="00983B0E">
        <w:rPr>
          <w:rFonts w:ascii="Century Gothic" w:eastAsia="Times New Roman" w:hAnsi="Century Gothic"/>
          <w:sz w:val="24"/>
          <w:szCs w:val="24"/>
          <w:lang w:eastAsia="ru-RU"/>
        </w:rPr>
        <w:t>ородского округа город Рыбинск</w:t>
      </w:r>
      <w:r w:rsidR="005A61EA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 Ярославской области</w:t>
      </w:r>
      <w:r w:rsidR="00543DB7" w:rsidRPr="00983B0E">
        <w:rPr>
          <w:rFonts w:ascii="Century Gothic" w:eastAsia="Times New Roman" w:hAnsi="Century Gothic"/>
          <w:sz w:val="24"/>
          <w:szCs w:val="24"/>
          <w:lang w:eastAsia="ru-RU"/>
        </w:rPr>
        <w:t xml:space="preserve">», </w:t>
      </w:r>
      <w:r w:rsidR="00797B5C" w:rsidRPr="00983B0E">
        <w:rPr>
          <w:rFonts w:ascii="Century Gothic" w:eastAsia="Times New Roman" w:hAnsi="Century Gothic"/>
          <w:sz w:val="24"/>
          <w:szCs w:val="24"/>
          <w:lang w:eastAsia="ru-RU"/>
        </w:rPr>
        <w:t>МП «Развитие водохозяйственного комплекса в городском округе город Рыбинск Ярославской области», МП «Развитие дорожного хозяйства городского округа гор</w:t>
      </w:r>
      <w:r w:rsidR="00ED77FF" w:rsidRPr="00983B0E">
        <w:rPr>
          <w:rFonts w:ascii="Century Gothic" w:eastAsia="Times New Roman" w:hAnsi="Century Gothic"/>
          <w:sz w:val="24"/>
          <w:szCs w:val="24"/>
          <w:lang w:eastAsia="ru-RU"/>
        </w:rPr>
        <w:t>од Рыбинск Ярославской области»</w:t>
      </w:r>
      <w:r w:rsidR="00CB79B5" w:rsidRPr="00983B0E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CB79B5" w:rsidRDefault="00CB79B5" w:rsidP="00ED77FF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bCs/>
          <w:sz w:val="24"/>
          <w:szCs w:val="24"/>
          <w:lang w:eastAsia="ru-RU"/>
        </w:rPr>
      </w:pPr>
    </w:p>
    <w:p w:rsidR="00390E92" w:rsidRDefault="008E5675" w:rsidP="00390E92">
      <w:pPr>
        <w:spacing w:after="0" w:line="240" w:lineRule="auto"/>
        <w:ind w:firstLine="567"/>
        <w:jc w:val="center"/>
        <w:rPr>
          <w:rFonts w:ascii="Century Gothic" w:eastAsia="Times New Roman" w:hAnsi="Century Gothic"/>
          <w:b/>
          <w:bCs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b/>
          <w:bCs/>
          <w:sz w:val="24"/>
          <w:szCs w:val="24"/>
          <w:lang w:eastAsia="ru-RU"/>
        </w:rPr>
        <w:t>Оценка результативности и эффективности программ</w:t>
      </w:r>
    </w:p>
    <w:p w:rsidR="008E5675" w:rsidRPr="006D6355" w:rsidRDefault="008E5675" w:rsidP="00D36B12">
      <w:pPr>
        <w:spacing w:after="0" w:line="240" w:lineRule="auto"/>
        <w:ind w:firstLine="567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Для оценки эффективности использования расходуемых бюджетных средств на </w:t>
      </w:r>
      <w:r w:rsidRPr="006D6355">
        <w:rPr>
          <w:rFonts w:ascii="Century Gothic" w:eastAsia="Times New Roman" w:hAnsi="Century Gothic"/>
          <w:iCs/>
          <w:sz w:val="24"/>
          <w:szCs w:val="24"/>
          <w:lang w:eastAsia="ru-RU"/>
        </w:rPr>
        <w:t xml:space="preserve">реализацию программ, действовавших в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="00797B5C">
        <w:rPr>
          <w:rFonts w:ascii="Century Gothic" w:eastAsia="Times New Roman" w:hAnsi="Century Gothic"/>
          <w:sz w:val="24"/>
          <w:szCs w:val="24"/>
          <w:lang w:eastAsia="ru-RU"/>
        </w:rPr>
        <w:t>20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году, проведен мониторинг результативности и эффективности программ.</w:t>
      </w:r>
    </w:p>
    <w:p w:rsidR="002406F0" w:rsidRDefault="008E5675" w:rsidP="008E5675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lastRenderedPageBreak/>
        <w:t>Рейтинговая оценка действующих программ проведена в соответствии с Методикой оценки эффективности реализации МП</w:t>
      </w:r>
      <w:r w:rsidR="009020BC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797B5C">
        <w:rPr>
          <w:rFonts w:ascii="Century Gothic" w:eastAsia="Times New Roman" w:hAnsi="Century Gothic"/>
          <w:sz w:val="24"/>
          <w:szCs w:val="24"/>
          <w:lang w:eastAsia="ru-RU"/>
        </w:rPr>
        <w:t xml:space="preserve">(постановление Администрации городского округа город Рыбинск Ярославской области от 08.06.2020 №1306 «О муниципальных программах») </w:t>
      </w:r>
      <w:r w:rsidR="009020BC">
        <w:rPr>
          <w:rFonts w:ascii="Century Gothic" w:eastAsia="Times New Roman" w:hAnsi="Century Gothic"/>
          <w:sz w:val="24"/>
          <w:szCs w:val="24"/>
          <w:lang w:eastAsia="ru-RU"/>
        </w:rPr>
        <w:t>и ВЦП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(постановление </w:t>
      </w:r>
      <w:r w:rsidR="00231600">
        <w:rPr>
          <w:rFonts w:ascii="Century Gothic" w:eastAsia="Times New Roman" w:hAnsi="Century Gothic"/>
          <w:sz w:val="24"/>
          <w:szCs w:val="24"/>
          <w:lang w:eastAsia="ru-RU"/>
        </w:rPr>
        <w:t xml:space="preserve">Администрации городского округа город Рыбинск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от 06.06.2014 №1727</w:t>
      </w:r>
      <w:r w:rsidR="00231600">
        <w:rPr>
          <w:rFonts w:ascii="Century Gothic" w:eastAsia="Times New Roman" w:hAnsi="Century Gothic"/>
          <w:sz w:val="24"/>
          <w:szCs w:val="24"/>
          <w:lang w:eastAsia="ru-RU"/>
        </w:rPr>
        <w:t xml:space="preserve"> «О программах</w:t>
      </w:r>
      <w:r w:rsidR="00933C71">
        <w:rPr>
          <w:rFonts w:ascii="Century Gothic" w:eastAsia="Times New Roman" w:hAnsi="Century Gothic"/>
          <w:sz w:val="24"/>
          <w:szCs w:val="24"/>
          <w:lang w:eastAsia="ru-RU"/>
        </w:rPr>
        <w:t xml:space="preserve"> городского округа город Рыбинск</w:t>
      </w:r>
      <w:r w:rsidR="00231600">
        <w:rPr>
          <w:rFonts w:ascii="Century Gothic" w:eastAsia="Times New Roman" w:hAnsi="Century Gothic"/>
          <w:sz w:val="24"/>
          <w:szCs w:val="24"/>
          <w:lang w:eastAsia="ru-RU"/>
        </w:rPr>
        <w:t>»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). Рейтинговая оценка каждой программы представлена в Приложении </w:t>
      </w:r>
      <w:r w:rsidR="00D76919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13648E" w:rsidRPr="006D6355" w:rsidRDefault="0013648E" w:rsidP="008E5675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</w:p>
    <w:p w:rsidR="008E5675" w:rsidRPr="006D6355" w:rsidRDefault="008E5675" w:rsidP="008E5675">
      <w:pPr>
        <w:spacing w:after="0" w:line="240" w:lineRule="auto"/>
        <w:ind w:right="-1"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473512">
        <w:rPr>
          <w:rFonts w:ascii="Century Gothic" w:eastAsia="Times New Roman" w:hAnsi="Century Gothic"/>
          <w:sz w:val="24"/>
          <w:szCs w:val="24"/>
          <w:lang w:eastAsia="ru-RU"/>
        </w:rPr>
        <w:t>В результате проведения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анализа оценки эффективности </w:t>
      </w:r>
      <w:r w:rsidR="007006DE">
        <w:rPr>
          <w:rFonts w:ascii="Century Gothic" w:eastAsia="Times New Roman" w:hAnsi="Century Gothic"/>
          <w:sz w:val="24"/>
          <w:szCs w:val="24"/>
          <w:lang w:eastAsia="ru-RU"/>
        </w:rPr>
        <w:t xml:space="preserve">реализации МП и ВЦП </w:t>
      </w:r>
      <w:r w:rsidRPr="006D6355">
        <w:rPr>
          <w:rFonts w:ascii="Century Gothic" w:eastAsia="Times New Roman" w:hAnsi="Century Gothic"/>
          <w:sz w:val="24"/>
          <w:szCs w:val="24"/>
          <w:lang w:eastAsia="ru-RU"/>
        </w:rPr>
        <w:t>признаны:</w:t>
      </w:r>
    </w:p>
    <w:p w:rsidR="00971BCD" w:rsidRPr="00390E92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534799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</w:t>
      </w:r>
      <w:r w:rsidRPr="00534799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Высокоэффективными - </w:t>
      </w:r>
      <w:r w:rsidR="00971BCD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16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программ </w:t>
      </w:r>
    </w:p>
    <w:p w:rsidR="008E5675" w:rsidRPr="00390E92" w:rsidRDefault="00971BCD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390E92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</w:t>
      </w:r>
      <w:r w:rsidR="008E5675" w:rsidRPr="00390E92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</w:t>
      </w:r>
      <w:r w:rsidR="008E5675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.</w:t>
      </w:r>
      <w:r w:rsidR="00F973E5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Среднеэффективными </w:t>
      </w:r>
      <w:r w:rsidR="008E5675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- 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</w:t>
      </w:r>
      <w:r w:rsidR="008E5675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программы</w:t>
      </w:r>
    </w:p>
    <w:p w:rsidR="00971BCD" w:rsidRPr="00390E92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390E92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III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. Низкоэффективн</w:t>
      </w:r>
      <w:r w:rsidR="002406F0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ыми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–</w:t>
      </w:r>
      <w:r w:rsidR="00D76919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="00971BCD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7</w:t>
      </w:r>
      <w:r w:rsidR="00D76919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программ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</w:p>
    <w:p w:rsidR="00971BCD" w:rsidRPr="00390E92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390E92">
        <w:rPr>
          <w:rFonts w:ascii="Century Gothic" w:eastAsia="Times New Roman" w:hAnsi="Century Gothic"/>
          <w:color w:val="000000"/>
          <w:sz w:val="24"/>
          <w:szCs w:val="24"/>
          <w:lang w:val="en-US" w:eastAsia="ru-RU"/>
        </w:rPr>
        <w:t>IV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="00CB4E13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Неэффективными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– </w:t>
      </w:r>
      <w:r w:rsidR="009020BC"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0 программ</w:t>
      </w:r>
      <w:r w:rsidRPr="00390E92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</w:p>
    <w:p w:rsidR="003E10CB" w:rsidRDefault="00D434F9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FF0000"/>
          <w:sz w:val="24"/>
          <w:szCs w:val="24"/>
          <w:lang w:eastAsia="ru-RU"/>
        </w:rPr>
      </w:pPr>
      <w:r w:rsidRPr="00390E92">
        <w:rPr>
          <w:rFonts w:ascii="Century Gothic" w:eastAsia="Times New Roman" w:hAnsi="Century Gothic"/>
          <w:sz w:val="24"/>
          <w:szCs w:val="24"/>
          <w:lang w:eastAsia="ru-RU"/>
        </w:rPr>
        <w:t>В результате достаточно высокого уровня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185828">
        <w:rPr>
          <w:rFonts w:ascii="Century Gothic" w:eastAsia="Times New Roman" w:hAnsi="Century Gothic"/>
          <w:sz w:val="24"/>
          <w:szCs w:val="24"/>
          <w:lang w:eastAsia="ru-RU"/>
        </w:rPr>
        <w:t xml:space="preserve">фактического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финансирования </w:t>
      </w:r>
      <w:r w:rsidR="00F973E5">
        <w:rPr>
          <w:rFonts w:ascii="Century Gothic" w:eastAsia="Times New Roman" w:hAnsi="Century Gothic"/>
          <w:sz w:val="24"/>
          <w:szCs w:val="24"/>
          <w:lang w:eastAsia="ru-RU"/>
        </w:rPr>
        <w:t xml:space="preserve">по сравнению с плановым </w:t>
      </w:r>
      <w:r>
        <w:rPr>
          <w:rFonts w:ascii="Century Gothic" w:eastAsia="Times New Roman" w:hAnsi="Century Gothic"/>
          <w:sz w:val="24"/>
          <w:szCs w:val="24"/>
          <w:lang w:eastAsia="ru-RU"/>
        </w:rPr>
        <w:t>(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96,24</w:t>
      </w:r>
      <w:r>
        <w:rPr>
          <w:rFonts w:ascii="Century Gothic" w:eastAsia="Times New Roman" w:hAnsi="Century Gothic"/>
          <w:sz w:val="24"/>
          <w:szCs w:val="24"/>
          <w:lang w:eastAsia="ru-RU"/>
        </w:rPr>
        <w:t>%)</w:t>
      </w:r>
      <w:r w:rsidR="00185828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в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 xml:space="preserve"> 2020</w:t>
      </w:r>
      <w:r w:rsidR="00473512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>г</w:t>
      </w:r>
      <w:r w:rsidR="00473512">
        <w:rPr>
          <w:rFonts w:ascii="Century Gothic" w:eastAsia="Times New Roman" w:hAnsi="Century Gothic"/>
          <w:sz w:val="24"/>
          <w:szCs w:val="24"/>
          <w:lang w:eastAsia="ru-RU"/>
        </w:rPr>
        <w:t>оду</w:t>
      </w:r>
      <w:r w:rsidR="008E5675" w:rsidRPr="006D6355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473512">
        <w:rPr>
          <w:rFonts w:ascii="Century Gothic" w:eastAsia="Times New Roman" w:hAnsi="Century Gothic"/>
          <w:sz w:val="24"/>
          <w:szCs w:val="24"/>
          <w:lang w:eastAsia="ru-RU"/>
        </w:rPr>
        <w:t xml:space="preserve">среднее значение исполнения индикаторов программ составило 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 xml:space="preserve">94,95 %. </w:t>
      </w:r>
    </w:p>
    <w:p w:rsidR="008E5675" w:rsidRPr="006D6355" w:rsidRDefault="00976193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Cs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Степень достижения всех индикаторов </w:t>
      </w:r>
      <w:r w:rsidR="00F973E5">
        <w:rPr>
          <w:rFonts w:ascii="Century Gothic" w:eastAsia="Times New Roman" w:hAnsi="Century Gothic"/>
          <w:sz w:val="24"/>
          <w:szCs w:val="24"/>
          <w:lang w:eastAsia="ru-RU"/>
        </w:rPr>
        <w:t xml:space="preserve">МП и ВЦП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по каждой программе представлена в </w:t>
      </w:r>
      <w:r w:rsidRPr="00534799">
        <w:rPr>
          <w:rFonts w:ascii="Century Gothic" w:eastAsia="Times New Roman" w:hAnsi="Century Gothic"/>
          <w:sz w:val="24"/>
          <w:szCs w:val="24"/>
          <w:lang w:eastAsia="ru-RU"/>
        </w:rPr>
        <w:t xml:space="preserve">Приложении </w:t>
      </w:r>
      <w:r w:rsidR="00185CA6" w:rsidRPr="00534799"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Pr="00534799">
        <w:rPr>
          <w:rFonts w:ascii="Century Gothic" w:eastAsia="Times New Roman" w:hAnsi="Century Gothic"/>
          <w:sz w:val="24"/>
          <w:szCs w:val="24"/>
          <w:lang w:eastAsia="ru-RU"/>
        </w:rPr>
        <w:t>.</w:t>
      </w:r>
    </w:p>
    <w:p w:rsidR="00902946" w:rsidRDefault="00902946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</w:pPr>
    </w:p>
    <w:p w:rsidR="008E5675" w:rsidRPr="0084493B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  <w:t>Выводы и предложения по результатам анализа реализации программ:</w:t>
      </w:r>
    </w:p>
    <w:p w:rsidR="008E5675" w:rsidRPr="0084493B" w:rsidRDefault="008E5675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i/>
          <w:color w:val="000000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i/>
          <w:color w:val="000000"/>
          <w:sz w:val="24"/>
          <w:szCs w:val="24"/>
          <w:lang w:eastAsia="ru-RU"/>
        </w:rPr>
        <w:t>Общие выводы и предложения:</w:t>
      </w:r>
    </w:p>
    <w:p w:rsidR="00E1504B" w:rsidRPr="0084493B" w:rsidRDefault="008E5675" w:rsidP="00E1504B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1.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="00E1504B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В 20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20</w:t>
      </w:r>
      <w:r w:rsidR="00E1504B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году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фиксируется 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незначительный разрыв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(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2020 год - 3,76%, 2019 и 2018 год – 3%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) между запланированными в уточненном бюджете ассигнованиями и фактическим финансированием программ, что позволяет сделать вывод о </w:t>
      </w:r>
      <w:r w:rsidR="00567AD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стабильно высоком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уровн</w:t>
      </w:r>
      <w:r w:rsidR="00567AD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е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планирования </w:t>
      </w:r>
      <w:r w:rsidR="00567AD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и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реалистичности</w:t>
      </w:r>
      <w:r w:rsidR="00567AD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программ; </w:t>
      </w:r>
    </w:p>
    <w:p w:rsidR="008E5675" w:rsidRPr="0084493B" w:rsidRDefault="00B93F5F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color w:val="000000"/>
          <w:sz w:val="24"/>
          <w:szCs w:val="24"/>
          <w:lang w:eastAsia="ru-RU"/>
        </w:rPr>
      </w:pP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Коэффициент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привлечен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ия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средств из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вышестоящих бюджетов составил </w:t>
      </w:r>
      <w:r w:rsidR="009C5024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2,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96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, что говорит о</w:t>
      </w:r>
      <w:r w:rsidR="00FF553A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б</w:t>
      </w:r>
      <w:r w:rsidR="003E10CB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="00E1504B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усугубляющейся тенденции</w:t>
      </w:r>
      <w:r w:rsidR="008E5675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снижени</w:t>
      </w:r>
      <w:r w:rsidR="00E1504B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я</w:t>
      </w:r>
      <w:r w:rsidR="00B101D6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</w:t>
      </w:r>
      <w:r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самостоятельности городского бюджета, снижении возможностей для принятия управленческих решений</w:t>
      </w:r>
      <w:r w:rsidR="00B101D6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именно орг</w:t>
      </w:r>
      <w:r w:rsidR="009C5024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а</w:t>
      </w:r>
      <w:r w:rsidR="00B101D6" w:rsidRP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нами местного самоуправления</w:t>
      </w:r>
      <w:r w:rsidR="00FF553A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. Вместе с тем, рост показателя обусловлен привлечением в 20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20</w:t>
      </w:r>
      <w:r w:rsidR="00FF553A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году существенных объемов дополнительных средств из вышестоящих бюджетов для строительства и ремонта объектов муниципальной коммунальной и социальной инфраструктуры.</w:t>
      </w:r>
    </w:p>
    <w:p w:rsidR="004162AC" w:rsidRDefault="00424011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3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. Основными критериями методики оценки эффективности </w:t>
      </w:r>
      <w:r w:rsidR="00D434F9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М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П являются выполнение запланированных мероприятий</w:t>
      </w:r>
      <w:r w:rsidR="00CB4E13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, достижение значений индикаторов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и уровень финансового обеспечения </w:t>
      </w:r>
      <w:r w:rsidR="00D434F9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М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П. </w:t>
      </w: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В 20</w:t>
      </w:r>
      <w:r w:rsidR="00971BCD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20</w:t>
      </w: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году как и </w:t>
      </w:r>
      <w:r w:rsidR="00E1504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>ранее,</w:t>
      </w:r>
      <w:r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 в</w:t>
      </w:r>
      <w:r w:rsidR="008E5675" w:rsidRPr="0084493B">
        <w:rPr>
          <w:rFonts w:ascii="Century Gothic" w:eastAsia="Times New Roman" w:hAnsi="Century Gothic"/>
          <w:color w:val="000000"/>
          <w:sz w:val="24"/>
          <w:szCs w:val="24"/>
          <w:lang w:eastAsia="ru-RU"/>
        </w:rPr>
        <w:t xml:space="preserve">ысокие оценки по этим критериям получают, как правило, программы, разработка и реализация которых является одним из условий 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обязательного софинансирования к средствам вышестоящих бюджетов. Программы без софинансирования реализуются в основном по «остаточному» принципу.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</w:p>
    <w:p w:rsidR="008E5675" w:rsidRPr="0084493B" w:rsidRDefault="00E64D57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b/>
          <w:color w:val="000000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Достижение р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>яд</w:t>
      </w:r>
      <w:r>
        <w:rPr>
          <w:rFonts w:ascii="Century Gothic" w:eastAsia="Times New Roman" w:hAnsi="Century Gothic"/>
          <w:sz w:val="24"/>
          <w:szCs w:val="24"/>
          <w:lang w:eastAsia="ru-RU"/>
        </w:rPr>
        <w:t>а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 xml:space="preserve"> принятых в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программах </w:t>
      </w:r>
      <w:r w:rsidR="004162AC">
        <w:rPr>
          <w:rFonts w:ascii="Century Gothic" w:eastAsia="Times New Roman" w:hAnsi="Century Gothic"/>
          <w:sz w:val="24"/>
          <w:szCs w:val="24"/>
          <w:lang w:eastAsia="ru-RU"/>
        </w:rPr>
        <w:t>индикаторов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B101D6">
        <w:rPr>
          <w:rFonts w:ascii="Century Gothic" w:eastAsia="Times New Roman" w:hAnsi="Century Gothic"/>
          <w:sz w:val="24"/>
          <w:szCs w:val="24"/>
          <w:lang w:eastAsia="ru-RU"/>
        </w:rPr>
        <w:t xml:space="preserve">лишь </w:t>
      </w:r>
      <w:r>
        <w:rPr>
          <w:rFonts w:ascii="Century Gothic" w:eastAsia="Times New Roman" w:hAnsi="Century Gothic"/>
          <w:sz w:val="24"/>
          <w:szCs w:val="24"/>
          <w:lang w:eastAsia="ru-RU"/>
        </w:rPr>
        <w:t>косвенно зависит от выполнения мероприятий программ.</w:t>
      </w:r>
    </w:p>
    <w:p w:rsidR="008E5675" w:rsidRDefault="001244EA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. В целях повышения эффективности реализации программ в следующем плановом периоде необходимо:</w:t>
      </w:r>
    </w:p>
    <w:p w:rsidR="00FC1277" w:rsidRDefault="001244EA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.1. ответственным исполнителям программ своевременно приводить программы в соответствие с утвержденным бюджетом городского округа и изменениями, вносимыми в него;</w:t>
      </w:r>
    </w:p>
    <w:p w:rsidR="00FC1277" w:rsidRPr="0084493B" w:rsidRDefault="001244EA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lastRenderedPageBreak/>
        <w:t>4</w:t>
      </w:r>
      <w:r w:rsidR="00FC1277">
        <w:rPr>
          <w:rFonts w:ascii="Century Gothic" w:eastAsia="Times New Roman" w:hAnsi="Century Gothic"/>
          <w:sz w:val="24"/>
          <w:szCs w:val="24"/>
          <w:lang w:eastAsia="ru-RU"/>
        </w:rPr>
        <w:t>.2. ответственным исполнителям программ предоставлять в управление экономического развития и инвестиций максимально точную отчетную информацию по фактическому финансированию мероприятий программ, соответствующую отчетной информации, предоставляемой в департамент финансов;</w:t>
      </w:r>
    </w:p>
    <w:p w:rsidR="00385140" w:rsidRDefault="001244EA" w:rsidP="001F033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3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. 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в</w:t>
      </w:r>
      <w:r w:rsidR="001F0333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2021</w:t>
      </w:r>
      <w:r w:rsidR="001F0333">
        <w:rPr>
          <w:rFonts w:ascii="Century Gothic" w:eastAsia="Times New Roman" w:hAnsi="Century Gothic"/>
          <w:sz w:val="24"/>
          <w:szCs w:val="24"/>
          <w:lang w:eastAsia="ru-RU"/>
        </w:rPr>
        <w:t xml:space="preserve"> году </w:t>
      </w:r>
      <w:r w:rsidR="00B101D6">
        <w:rPr>
          <w:rFonts w:ascii="Century Gothic" w:eastAsia="Times New Roman" w:hAnsi="Century Gothic"/>
          <w:sz w:val="24"/>
          <w:szCs w:val="24"/>
          <w:lang w:eastAsia="ru-RU"/>
        </w:rPr>
        <w:t>планировать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1F0333">
        <w:rPr>
          <w:rFonts w:ascii="Century Gothic" w:eastAsia="Times New Roman" w:hAnsi="Century Gothic"/>
          <w:sz w:val="24"/>
          <w:szCs w:val="24"/>
          <w:lang w:eastAsia="ru-RU"/>
        </w:rPr>
        <w:t xml:space="preserve">индикаторы программ, </w:t>
      </w:r>
      <w:r w:rsidR="00B101D6">
        <w:rPr>
          <w:rFonts w:ascii="Century Gothic" w:eastAsia="Times New Roman" w:hAnsi="Century Gothic"/>
          <w:sz w:val="24"/>
          <w:szCs w:val="24"/>
          <w:lang w:eastAsia="ru-RU"/>
        </w:rPr>
        <w:t xml:space="preserve">с одной стороны максимально </w:t>
      </w:r>
      <w:r w:rsidR="001F0333">
        <w:rPr>
          <w:rFonts w:ascii="Century Gothic" w:eastAsia="Times New Roman" w:hAnsi="Century Gothic"/>
          <w:sz w:val="24"/>
          <w:szCs w:val="24"/>
          <w:lang w:eastAsia="ru-RU"/>
        </w:rPr>
        <w:t xml:space="preserve">приведя их в соответствие 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 xml:space="preserve">с индикаторами </w:t>
      </w:r>
      <w:r w:rsidR="00E15BE5">
        <w:rPr>
          <w:rFonts w:ascii="Century Gothic" w:eastAsia="Times New Roman" w:hAnsi="Century Gothic"/>
          <w:sz w:val="24"/>
          <w:szCs w:val="24"/>
          <w:lang w:eastAsia="ru-RU"/>
        </w:rPr>
        <w:t>Стратегии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 xml:space="preserve"> 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>социально-экономического развития городского округа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>,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 xml:space="preserve"> с другой стороны в планировании индикаторов исходить из реалистичных возможностей финансирования бюджета городского округа.</w:t>
      </w:r>
    </w:p>
    <w:p w:rsidR="00385140" w:rsidRPr="0084493B" w:rsidRDefault="001244EA" w:rsidP="00385140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385140" w:rsidRPr="0084493B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385140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. формулировать индикаторы программ таким образом, чтобы они: </w:t>
      </w:r>
    </w:p>
    <w:p w:rsidR="00385140" w:rsidRPr="0084493B" w:rsidRDefault="00385140" w:rsidP="00385140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а) максимально объективно отражали динамику 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конкретных 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улучшений социально-экономического состояния в сфере реализации программы, </w:t>
      </w:r>
    </w:p>
    <w:p w:rsidR="00385140" w:rsidRPr="0084493B" w:rsidRDefault="00385140" w:rsidP="00385140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>б) максимально соответствовали набору показателей оценки эффективности деятельности органов местного самоуправления, иных федеральных, региональных, отраслевых показателей (Указ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районов», Указ Президента Российской Федерац</w:t>
      </w:r>
      <w:r>
        <w:rPr>
          <w:rFonts w:ascii="Century Gothic" w:eastAsia="Times New Roman" w:hAnsi="Century Gothic"/>
          <w:sz w:val="24"/>
          <w:szCs w:val="24"/>
          <w:lang w:eastAsia="ru-RU"/>
        </w:rPr>
        <w:t xml:space="preserve">ии 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от </w:t>
      </w:r>
      <w:r w:rsidR="00E15BE5" w:rsidRPr="00E15BE5">
        <w:rPr>
          <w:rFonts w:ascii="Century Gothic" w:eastAsia="Times New Roman" w:hAnsi="Century Gothic"/>
          <w:sz w:val="24"/>
          <w:szCs w:val="24"/>
          <w:lang w:eastAsia="ru-RU"/>
        </w:rPr>
        <w:t>07.05.2018 № 204 «О национальных целях и стратегических задачах развития Российской Федерации на период до 2024 года»</w:t>
      </w:r>
      <w:r w:rsidRPr="0084493B">
        <w:rPr>
          <w:rFonts w:ascii="Century Gothic" w:eastAsia="Times New Roman" w:hAnsi="Century Gothic"/>
          <w:sz w:val="24"/>
          <w:szCs w:val="24"/>
          <w:lang w:eastAsia="ru-RU"/>
        </w:rPr>
        <w:t>, иные отраслевые нормативные правовые акты федерального и регионального уровня);</w:t>
      </w:r>
    </w:p>
    <w:p w:rsidR="001F0333" w:rsidRDefault="001244EA" w:rsidP="001F033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 xml:space="preserve"> максимально точно сбалансировать ограниченное бюджетное финансирование и заявленные приоритеты</w:t>
      </w:r>
      <w:r w:rsidR="00AC47D8">
        <w:rPr>
          <w:rFonts w:ascii="Century Gothic" w:eastAsia="Times New Roman" w:hAnsi="Century Gothic"/>
          <w:sz w:val="24"/>
          <w:szCs w:val="24"/>
          <w:lang w:eastAsia="ru-RU"/>
        </w:rPr>
        <w:t xml:space="preserve"> программ</w:t>
      </w:r>
      <w:r w:rsidR="001F0333" w:rsidRPr="0084493B">
        <w:rPr>
          <w:rFonts w:ascii="Century Gothic" w:eastAsia="Times New Roman" w:hAnsi="Century Gothic"/>
          <w:sz w:val="24"/>
          <w:szCs w:val="24"/>
          <w:lang w:eastAsia="ru-RU"/>
        </w:rPr>
        <w:t>;</w:t>
      </w:r>
    </w:p>
    <w:p w:rsidR="00385140" w:rsidRPr="0084493B" w:rsidRDefault="001244EA" w:rsidP="001F0333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6</w:t>
      </w:r>
      <w:r w:rsidR="00385140">
        <w:rPr>
          <w:rFonts w:ascii="Century Gothic" w:eastAsia="Times New Roman" w:hAnsi="Century Gothic"/>
          <w:sz w:val="24"/>
          <w:szCs w:val="24"/>
          <w:lang w:eastAsia="ru-RU"/>
        </w:rPr>
        <w:t>. максимально использовать все имеющиеся возможности по привлечению финансирования программ из внебюджетных источников;</w:t>
      </w:r>
    </w:p>
    <w:p w:rsidR="008E5675" w:rsidRDefault="001244EA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4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.</w:t>
      </w:r>
      <w:r w:rsidR="00971BCD">
        <w:rPr>
          <w:rFonts w:ascii="Century Gothic" w:eastAsia="Times New Roman" w:hAnsi="Century Gothic"/>
          <w:sz w:val="24"/>
          <w:szCs w:val="24"/>
          <w:lang w:eastAsia="ru-RU"/>
        </w:rPr>
        <w:t>7</w:t>
      </w:r>
      <w:r w:rsidR="008E5675" w:rsidRPr="0084493B">
        <w:rPr>
          <w:rFonts w:ascii="Century Gothic" w:eastAsia="Times New Roman" w:hAnsi="Century Gothic"/>
          <w:sz w:val="24"/>
          <w:szCs w:val="24"/>
          <w:lang w:eastAsia="ru-RU"/>
        </w:rPr>
        <w:t>. отказаться от бюджетного финансирования мероприятий, результаты реализации которых незначительны или не явно влияют на улучшение социально-экономического состояния городского округа.</w:t>
      </w:r>
    </w:p>
    <w:p w:rsidR="006315C3" w:rsidRPr="0084493B" w:rsidRDefault="001244EA" w:rsidP="008E5675">
      <w:pPr>
        <w:spacing w:after="0" w:line="240" w:lineRule="auto"/>
        <w:ind w:firstLine="567"/>
        <w:jc w:val="both"/>
        <w:rPr>
          <w:rFonts w:ascii="Century Gothic" w:eastAsia="Times New Roman" w:hAnsi="Century Gothic"/>
          <w:sz w:val="24"/>
          <w:szCs w:val="24"/>
          <w:lang w:eastAsia="ru-RU"/>
        </w:rPr>
      </w:pPr>
      <w:r>
        <w:rPr>
          <w:rFonts w:ascii="Century Gothic" w:eastAsia="Times New Roman" w:hAnsi="Century Gothic"/>
          <w:sz w:val="24"/>
          <w:szCs w:val="24"/>
          <w:lang w:eastAsia="ru-RU"/>
        </w:rPr>
        <w:t>5</w:t>
      </w:r>
      <w:r w:rsidR="006315C3">
        <w:rPr>
          <w:rFonts w:ascii="Century Gothic" w:eastAsia="Times New Roman" w:hAnsi="Century Gothic"/>
          <w:sz w:val="24"/>
          <w:szCs w:val="24"/>
          <w:lang w:eastAsia="ru-RU"/>
        </w:rPr>
        <w:t xml:space="preserve">. </w:t>
      </w:r>
      <w:r w:rsidR="006315C3" w:rsidRPr="006315C3">
        <w:rPr>
          <w:rFonts w:ascii="Century Gothic" w:eastAsia="Times New Roman" w:hAnsi="Century Gothic"/>
          <w:sz w:val="24"/>
          <w:szCs w:val="24"/>
          <w:lang w:eastAsia="ru-RU"/>
        </w:rPr>
        <w:t xml:space="preserve">В связи с переходом на электронный бюджет </w:t>
      </w:r>
      <w:r w:rsidR="006315C3">
        <w:rPr>
          <w:rFonts w:ascii="Century Gothic" w:eastAsia="Times New Roman" w:hAnsi="Century Gothic"/>
          <w:sz w:val="24"/>
          <w:szCs w:val="24"/>
          <w:lang w:eastAsia="ru-RU"/>
        </w:rPr>
        <w:t xml:space="preserve">все действующие </w:t>
      </w:r>
      <w:r w:rsidR="006315C3" w:rsidRPr="006315C3">
        <w:rPr>
          <w:rFonts w:ascii="Century Gothic" w:eastAsia="Times New Roman" w:hAnsi="Century Gothic"/>
          <w:sz w:val="24"/>
          <w:szCs w:val="24"/>
          <w:lang w:eastAsia="ru-RU"/>
        </w:rPr>
        <w:t xml:space="preserve">ВЦП </w:t>
      </w:r>
      <w:r w:rsidR="00534799">
        <w:rPr>
          <w:rFonts w:ascii="Century Gothic" w:eastAsia="Times New Roman" w:hAnsi="Century Gothic"/>
          <w:sz w:val="24"/>
          <w:szCs w:val="24"/>
          <w:lang w:eastAsia="ru-RU"/>
        </w:rPr>
        <w:t xml:space="preserve">в 2020 году преобразованы </w:t>
      </w:r>
      <w:r w:rsidR="006315C3" w:rsidRPr="006315C3">
        <w:rPr>
          <w:rFonts w:ascii="Century Gothic" w:eastAsia="Times New Roman" w:hAnsi="Century Gothic"/>
          <w:sz w:val="24"/>
          <w:szCs w:val="24"/>
          <w:lang w:eastAsia="ru-RU"/>
        </w:rPr>
        <w:t>в МП</w:t>
      </w:r>
      <w:r w:rsidR="006315C3">
        <w:rPr>
          <w:rFonts w:ascii="Century Gothic" w:eastAsia="Times New Roman" w:hAnsi="Century Gothic"/>
          <w:sz w:val="24"/>
          <w:szCs w:val="24"/>
          <w:lang w:eastAsia="ru-RU"/>
        </w:rPr>
        <w:t xml:space="preserve"> (либо в подпрограммы действующих МП) со сроком действия, начиная с 2021 года. </w:t>
      </w:r>
    </w:p>
    <w:p w:rsidR="008E5675" w:rsidRPr="001F0333" w:rsidRDefault="008E5675" w:rsidP="008E5675">
      <w:pPr>
        <w:spacing w:after="0" w:line="240" w:lineRule="auto"/>
        <w:ind w:right="-1" w:firstLine="567"/>
        <w:jc w:val="both"/>
        <w:rPr>
          <w:rFonts w:ascii="Century Gothic" w:hAnsi="Century Gothic"/>
          <w:color w:val="000000"/>
          <w:sz w:val="24"/>
          <w:szCs w:val="24"/>
        </w:rPr>
      </w:pPr>
      <w:r w:rsidRPr="001F0333">
        <w:rPr>
          <w:rFonts w:ascii="Century Gothic" w:hAnsi="Century Gothic"/>
          <w:color w:val="000000"/>
          <w:sz w:val="24"/>
          <w:szCs w:val="24"/>
        </w:rPr>
        <w:t xml:space="preserve">Выводы и предложения по каждой программе приведены в приложении </w:t>
      </w:r>
      <w:r w:rsidR="00385140">
        <w:rPr>
          <w:rFonts w:ascii="Century Gothic" w:hAnsi="Century Gothic"/>
          <w:color w:val="000000"/>
          <w:sz w:val="24"/>
          <w:szCs w:val="24"/>
        </w:rPr>
        <w:t>3</w:t>
      </w:r>
      <w:r w:rsidRPr="001F0333">
        <w:rPr>
          <w:rFonts w:ascii="Century Gothic" w:hAnsi="Century Gothic"/>
          <w:color w:val="000000"/>
          <w:sz w:val="24"/>
          <w:szCs w:val="24"/>
        </w:rPr>
        <w:t>.</w:t>
      </w:r>
    </w:p>
    <w:p w:rsidR="008E5675" w:rsidRDefault="008E5675" w:rsidP="008E5675">
      <w:pPr>
        <w:spacing w:after="0" w:line="240" w:lineRule="auto"/>
        <w:ind w:right="-1" w:firstLine="567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8A79DD" w:rsidRPr="006D6355" w:rsidRDefault="008A79DD" w:rsidP="008E5675">
      <w:pPr>
        <w:spacing w:after="0" w:line="240" w:lineRule="auto"/>
        <w:ind w:right="-1" w:firstLine="567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8E5675" w:rsidRPr="006D6355" w:rsidRDefault="008E5675" w:rsidP="008E5675">
      <w:pPr>
        <w:spacing w:after="0" w:line="240" w:lineRule="auto"/>
        <w:ind w:right="-1"/>
        <w:jc w:val="both"/>
        <w:rPr>
          <w:rFonts w:ascii="Century Gothic" w:hAnsi="Century Gothic"/>
          <w:color w:val="000000"/>
          <w:sz w:val="24"/>
          <w:szCs w:val="24"/>
        </w:rPr>
      </w:pPr>
      <w:r w:rsidRPr="006D6355">
        <w:rPr>
          <w:rFonts w:ascii="Century Gothic" w:hAnsi="Century Gothic"/>
          <w:color w:val="000000"/>
          <w:sz w:val="24"/>
          <w:szCs w:val="24"/>
        </w:rPr>
        <w:t xml:space="preserve">Начальник управления </w:t>
      </w:r>
    </w:p>
    <w:p w:rsidR="002E5DFC" w:rsidRDefault="008E5675" w:rsidP="008E5675">
      <w:pPr>
        <w:rPr>
          <w:rFonts w:ascii="Century Gothic" w:hAnsi="Century Gothic"/>
          <w:color w:val="000000"/>
          <w:sz w:val="24"/>
          <w:szCs w:val="24"/>
        </w:rPr>
      </w:pPr>
      <w:r w:rsidRPr="006D6355">
        <w:rPr>
          <w:rFonts w:ascii="Century Gothic" w:hAnsi="Century Gothic"/>
          <w:color w:val="000000"/>
          <w:sz w:val="24"/>
          <w:szCs w:val="24"/>
        </w:rPr>
        <w:t>экономическ</w:t>
      </w:r>
      <w:r w:rsidR="00601470">
        <w:rPr>
          <w:rFonts w:ascii="Century Gothic" w:hAnsi="Century Gothic"/>
          <w:color w:val="000000"/>
          <w:sz w:val="24"/>
          <w:szCs w:val="24"/>
        </w:rPr>
        <w:t>ого развития и инвестиций</w:t>
      </w:r>
      <w:r w:rsidR="00601470">
        <w:rPr>
          <w:rFonts w:ascii="Century Gothic" w:hAnsi="Century Gothic"/>
          <w:color w:val="000000"/>
          <w:sz w:val="24"/>
          <w:szCs w:val="24"/>
        </w:rPr>
        <w:tab/>
      </w:r>
      <w:r w:rsidR="00601470">
        <w:rPr>
          <w:rFonts w:ascii="Century Gothic" w:hAnsi="Century Gothic"/>
          <w:color w:val="000000"/>
          <w:sz w:val="24"/>
          <w:szCs w:val="24"/>
        </w:rPr>
        <w:tab/>
      </w:r>
      <w:r w:rsidR="00601470">
        <w:rPr>
          <w:rFonts w:ascii="Century Gothic" w:hAnsi="Century Gothic"/>
          <w:color w:val="000000"/>
          <w:sz w:val="24"/>
          <w:szCs w:val="24"/>
        </w:rPr>
        <w:tab/>
      </w:r>
      <w:r w:rsidR="00601470">
        <w:rPr>
          <w:rFonts w:ascii="Century Gothic" w:hAnsi="Century Gothic"/>
          <w:color w:val="000000"/>
          <w:sz w:val="24"/>
          <w:szCs w:val="24"/>
        </w:rPr>
        <w:tab/>
      </w:r>
      <w:r w:rsidR="00601470">
        <w:rPr>
          <w:rFonts w:ascii="Century Gothic" w:hAnsi="Century Gothic"/>
          <w:color w:val="000000"/>
          <w:sz w:val="24"/>
          <w:szCs w:val="24"/>
        </w:rPr>
        <w:tab/>
        <w:t xml:space="preserve">         О.В. Харисова</w:t>
      </w:r>
    </w:p>
    <w:p w:rsidR="00390E92" w:rsidRDefault="00390E92" w:rsidP="008E5675">
      <w:pPr>
        <w:rPr>
          <w:rFonts w:ascii="Century Gothic" w:hAnsi="Century Gothic"/>
          <w:color w:val="000000"/>
          <w:sz w:val="24"/>
          <w:szCs w:val="24"/>
        </w:rPr>
      </w:pPr>
    </w:p>
    <w:p w:rsidR="00390E92" w:rsidRDefault="00390E92" w:rsidP="008E5675">
      <w:pPr>
        <w:rPr>
          <w:rFonts w:ascii="Century Gothic" w:hAnsi="Century Gothic"/>
          <w:color w:val="000000"/>
          <w:sz w:val="24"/>
          <w:szCs w:val="24"/>
        </w:rPr>
      </w:pPr>
    </w:p>
    <w:p w:rsidR="00390E92" w:rsidRDefault="00390E92" w:rsidP="008E5675">
      <w:pPr>
        <w:rPr>
          <w:rFonts w:ascii="Century Gothic" w:hAnsi="Century Gothic"/>
          <w:color w:val="000000"/>
          <w:sz w:val="24"/>
          <w:szCs w:val="24"/>
        </w:rPr>
      </w:pPr>
    </w:p>
    <w:p w:rsidR="00390E92" w:rsidRDefault="00390E92" w:rsidP="008E5675">
      <w:pPr>
        <w:rPr>
          <w:rFonts w:ascii="Century Gothic" w:hAnsi="Century Gothic"/>
          <w:color w:val="000000"/>
          <w:sz w:val="24"/>
          <w:szCs w:val="24"/>
        </w:rPr>
      </w:pPr>
    </w:p>
    <w:p w:rsidR="00390E92" w:rsidRDefault="00390E92" w:rsidP="008E5675"/>
    <w:sectPr w:rsidR="00390E92" w:rsidSect="00390E92">
      <w:headerReference w:type="default" r:id="rId12"/>
      <w:footerReference w:type="default" r:id="rId13"/>
      <w:pgSz w:w="11906" w:h="16838"/>
      <w:pgMar w:top="52" w:right="566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2B0" w:rsidRDefault="005122B0" w:rsidP="00EA6CF2">
      <w:pPr>
        <w:spacing w:after="0" w:line="240" w:lineRule="auto"/>
      </w:pPr>
      <w:r>
        <w:separator/>
      </w:r>
    </w:p>
  </w:endnote>
  <w:endnote w:type="continuationSeparator" w:id="0">
    <w:p w:rsidR="005122B0" w:rsidRDefault="005122B0" w:rsidP="00EA6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BBD" w:rsidRPr="008A79DD" w:rsidRDefault="00F46BBD" w:rsidP="008A79DD">
    <w:pPr>
      <w:pStyle w:val="a9"/>
      <w:jc w:val="right"/>
      <w:rPr>
        <w:rFonts w:ascii="Century Gothic" w:hAnsi="Century Gothic"/>
      </w:rPr>
    </w:pPr>
    <w:r w:rsidRPr="008A79DD">
      <w:rPr>
        <w:rFonts w:ascii="Century Gothic" w:hAnsi="Century Gothic"/>
      </w:rPr>
      <w:t>Управление экономического развития и инвестиций</w:t>
    </w:r>
    <w:r w:rsidR="006D3704" w:rsidRPr="006D3704">
      <w:rPr>
        <w:rFonts w:ascii="Century Gothic" w:eastAsia="Times New Roman" w:hAnsi="Century Gothic"/>
        <w:sz w:val="24"/>
        <w:szCs w:val="24"/>
        <w:lang w:eastAsia="ru-RU"/>
      </w:rPr>
    </w:r>
    <w:r w:rsidR="006D3704" w:rsidRPr="006D3704">
      <w:rPr>
        <w:rFonts w:ascii="Century Gothic" w:eastAsia="Times New Roman" w:hAnsi="Century Gothic"/>
        <w:sz w:val="24"/>
        <w:szCs w:val="24"/>
        <w:lang w:eastAsia="ru-RU"/>
      </w:rPr>
      <w:pict>
        <v:group id="_x0000_s2053" style="width:39pt;height:37.95pt;flip:x y;mso-position-horizontal-relative:char;mso-position-vertical-relative:line" coordorigin="8754,11945" coordsize="2880,2859">
          <v:rect id="_x0000_s2054" style="position:absolute;left:10194;top:11945;width:1440;height:1440;flip:x;mso-width-relative:margin;v-text-anchor:middle" fillcolor="#bfbfbf" strokecolor="white" strokeweight="1pt">
            <v:fill opacity=".5"/>
            <v:shadow color="#d8d8d8" offset="3pt,3pt" offset2="2pt,2pt"/>
          </v:rect>
          <v:rect id="_x0000_s2055" style="position:absolute;left:10194;top:13364;width:1440;height:1440;flip:x;mso-width-relative:margin;v-text-anchor:middle" fillcolor="#4caeac" strokecolor="white" strokeweight="1pt">
            <v:shadow color="#d8d8d8" offset="3pt,3pt" offset2="2pt,2pt"/>
          </v:rect>
          <v:rect id="_x0000_s2056" style="position:absolute;left:8754;top:13364;width:1440;height:1440;flip:x;mso-width-relative:margin;v-text-anchor:middle" fillcolor="#ff7c80" strokecolor="white" strokeweight="1pt">
            <v:fill opacity=".5"/>
            <v:shadow color="#d8d8d8" offset="3pt,3pt" offset2="2pt,2pt"/>
          </v:rect>
          <w10:wrap type="none" anchorx="margin" anchory="pag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2B0" w:rsidRDefault="005122B0" w:rsidP="00EA6CF2">
      <w:pPr>
        <w:spacing w:after="0" w:line="240" w:lineRule="auto"/>
      </w:pPr>
      <w:r>
        <w:separator/>
      </w:r>
    </w:p>
  </w:footnote>
  <w:footnote w:type="continuationSeparator" w:id="0">
    <w:p w:rsidR="005122B0" w:rsidRDefault="005122B0" w:rsidP="00EA6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792"/>
      <w:gridCol w:w="9630"/>
    </w:tblGrid>
    <w:tr w:rsidR="00F46BBD" w:rsidTr="00074AB2">
      <w:trPr>
        <w:trHeight w:hRule="exact" w:val="792"/>
      </w:trPr>
      <w:tc>
        <w:tcPr>
          <w:tcW w:w="792" w:type="dxa"/>
          <w:shd w:val="clear" w:color="auto" w:fill="4CAEAC"/>
          <w:vAlign w:val="center"/>
        </w:tcPr>
        <w:p w:rsidR="00F46BBD" w:rsidRPr="00074AB2" w:rsidRDefault="006D3704">
          <w:pPr>
            <w:pStyle w:val="a9"/>
            <w:jc w:val="center"/>
            <w:rPr>
              <w:rFonts w:ascii="Century Gothic" w:hAnsi="Century Gothic"/>
            </w:rPr>
          </w:pPr>
          <w:r w:rsidRPr="00074AB2">
            <w:rPr>
              <w:rFonts w:ascii="Century Gothic" w:hAnsi="Century Gothic"/>
            </w:rPr>
            <w:fldChar w:fldCharType="begin"/>
          </w:r>
          <w:r w:rsidR="00F46BBD" w:rsidRPr="00074AB2">
            <w:rPr>
              <w:rFonts w:ascii="Century Gothic" w:hAnsi="Century Gothic"/>
            </w:rPr>
            <w:instrText xml:space="preserve"> PAGE  \* MERGEFORMAT </w:instrText>
          </w:r>
          <w:r w:rsidRPr="00074AB2">
            <w:rPr>
              <w:rFonts w:ascii="Century Gothic" w:hAnsi="Century Gothic"/>
            </w:rPr>
            <w:fldChar w:fldCharType="separate"/>
          </w:r>
          <w:r w:rsidR="000355D6">
            <w:rPr>
              <w:rFonts w:ascii="Century Gothic" w:hAnsi="Century Gothic"/>
              <w:noProof/>
            </w:rPr>
            <w:t>6</w:t>
          </w:r>
          <w:r w:rsidRPr="00074AB2">
            <w:rPr>
              <w:rFonts w:ascii="Century Gothic" w:hAnsi="Century Gothic"/>
            </w:rPr>
            <w:fldChar w:fldCharType="end"/>
          </w:r>
        </w:p>
      </w:tc>
      <w:tc>
        <w:tcPr>
          <w:tcW w:w="0" w:type="auto"/>
          <w:vAlign w:val="center"/>
        </w:tcPr>
        <w:p w:rsidR="00F46BBD" w:rsidRPr="00074AB2" w:rsidRDefault="000E4F55" w:rsidP="00580DF1">
          <w:pPr>
            <w:pStyle w:val="a9"/>
            <w:rPr>
              <w:rFonts w:ascii="Century Gothic" w:eastAsia="Times New Roman" w:hAnsi="Century Gothic"/>
              <w:sz w:val="28"/>
              <w:szCs w:val="28"/>
            </w:rPr>
          </w:pPr>
          <w:r>
            <w:rPr>
              <w:rFonts w:ascii="Century Gothic" w:eastAsia="Times New Roman" w:hAnsi="Century Gothic"/>
              <w:sz w:val="20"/>
              <w:szCs w:val="28"/>
            </w:rPr>
            <w:t xml:space="preserve">ОТЧЕТ О РЕАЛИЗАЦИИ </w:t>
          </w:r>
          <w:r w:rsidR="00390E92">
            <w:rPr>
              <w:rFonts w:ascii="Century Gothic" w:eastAsia="Times New Roman" w:hAnsi="Century Gothic"/>
              <w:sz w:val="20"/>
              <w:szCs w:val="28"/>
            </w:rPr>
            <w:t xml:space="preserve">ПКСЭР 2016 – 2020, </w:t>
          </w:r>
          <w:r>
            <w:rPr>
              <w:rFonts w:ascii="Century Gothic" w:eastAsia="Times New Roman" w:hAnsi="Century Gothic"/>
              <w:sz w:val="20"/>
              <w:szCs w:val="28"/>
            </w:rPr>
            <w:t>МУНИЦИПАЛЬНЫХ И ВЕДОМСТВЕННЫХ ЦЕЛЕВЫХ ПРОГРАММ</w:t>
          </w:r>
        </w:p>
      </w:tc>
    </w:tr>
  </w:tbl>
  <w:p w:rsidR="00F46BBD" w:rsidRDefault="00F46BBD" w:rsidP="00074AB2">
    <w:pPr>
      <w:pStyle w:val="a7"/>
      <w:tabs>
        <w:tab w:val="clear" w:pos="4677"/>
        <w:tab w:val="clear" w:pos="9355"/>
        <w:tab w:val="left" w:pos="130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516B"/>
    <w:multiLevelType w:val="hybridMultilevel"/>
    <w:tmpl w:val="65724A5A"/>
    <w:lvl w:ilvl="0" w:tplc="3BBC0DF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F752408"/>
    <w:multiLevelType w:val="hybridMultilevel"/>
    <w:tmpl w:val="E05006B6"/>
    <w:lvl w:ilvl="0" w:tplc="6DEA2D7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3F4DD9"/>
    <w:multiLevelType w:val="hybridMultilevel"/>
    <w:tmpl w:val="ECC4C0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9A3A89"/>
    <w:multiLevelType w:val="hybridMultilevel"/>
    <w:tmpl w:val="2B907DF8"/>
    <w:lvl w:ilvl="0" w:tplc="F3AE0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5C39D2"/>
    <w:multiLevelType w:val="hybridMultilevel"/>
    <w:tmpl w:val="D8802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27DBB"/>
    <w:multiLevelType w:val="hybridMultilevel"/>
    <w:tmpl w:val="803E3A60"/>
    <w:lvl w:ilvl="0" w:tplc="FC1429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4384"/>
    <w:multiLevelType w:val="hybridMultilevel"/>
    <w:tmpl w:val="02E41E12"/>
    <w:lvl w:ilvl="0" w:tplc="65E2EC1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736CD9"/>
    <w:multiLevelType w:val="hybridMultilevel"/>
    <w:tmpl w:val="FE244FE6"/>
    <w:lvl w:ilvl="0" w:tplc="A3FED3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D311E51"/>
    <w:multiLevelType w:val="hybridMultilevel"/>
    <w:tmpl w:val="92C2C25E"/>
    <w:lvl w:ilvl="0" w:tplc="3D8ED7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E414060"/>
    <w:multiLevelType w:val="hybridMultilevel"/>
    <w:tmpl w:val="B26E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071FC"/>
    <w:multiLevelType w:val="hybridMultilevel"/>
    <w:tmpl w:val="1F1E3D90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6B9E59B3"/>
    <w:multiLevelType w:val="hybridMultilevel"/>
    <w:tmpl w:val="7DD4CE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5D6C61"/>
    <w:multiLevelType w:val="hybridMultilevel"/>
    <w:tmpl w:val="80B2B240"/>
    <w:lvl w:ilvl="0" w:tplc="907AFFF2">
      <w:start w:val="1"/>
      <w:numFmt w:val="decimal"/>
      <w:lvlText w:val="%1."/>
      <w:lvlJc w:val="left"/>
      <w:pPr>
        <w:ind w:left="1482" w:hanging="9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3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E5675"/>
    <w:rsid w:val="0000440B"/>
    <w:rsid w:val="0001467E"/>
    <w:rsid w:val="000355D6"/>
    <w:rsid w:val="00040172"/>
    <w:rsid w:val="00050FBC"/>
    <w:rsid w:val="00055F3A"/>
    <w:rsid w:val="00074AB2"/>
    <w:rsid w:val="000763BD"/>
    <w:rsid w:val="0008752C"/>
    <w:rsid w:val="000A4D38"/>
    <w:rsid w:val="000C4343"/>
    <w:rsid w:val="000D49CC"/>
    <w:rsid w:val="000D5682"/>
    <w:rsid w:val="000D5895"/>
    <w:rsid w:val="000E4F55"/>
    <w:rsid w:val="0011726F"/>
    <w:rsid w:val="001244EA"/>
    <w:rsid w:val="0013648E"/>
    <w:rsid w:val="001458BA"/>
    <w:rsid w:val="00161EA9"/>
    <w:rsid w:val="00185828"/>
    <w:rsid w:val="00185CA6"/>
    <w:rsid w:val="00194DFF"/>
    <w:rsid w:val="001B50B0"/>
    <w:rsid w:val="001D579C"/>
    <w:rsid w:val="001F0333"/>
    <w:rsid w:val="001F1F33"/>
    <w:rsid w:val="001F706D"/>
    <w:rsid w:val="00202EE7"/>
    <w:rsid w:val="00206797"/>
    <w:rsid w:val="00207061"/>
    <w:rsid w:val="00215713"/>
    <w:rsid w:val="00222856"/>
    <w:rsid w:val="00231600"/>
    <w:rsid w:val="00234C96"/>
    <w:rsid w:val="002406F0"/>
    <w:rsid w:val="002458C0"/>
    <w:rsid w:val="00264BCF"/>
    <w:rsid w:val="00277ABF"/>
    <w:rsid w:val="00282D1F"/>
    <w:rsid w:val="0028572B"/>
    <w:rsid w:val="00287682"/>
    <w:rsid w:val="00291AF1"/>
    <w:rsid w:val="002C28E8"/>
    <w:rsid w:val="002C529E"/>
    <w:rsid w:val="002E0919"/>
    <w:rsid w:val="002E5DFC"/>
    <w:rsid w:val="002F0B81"/>
    <w:rsid w:val="002F4933"/>
    <w:rsid w:val="00307F77"/>
    <w:rsid w:val="00311ABB"/>
    <w:rsid w:val="003228B2"/>
    <w:rsid w:val="00341E5D"/>
    <w:rsid w:val="003575BD"/>
    <w:rsid w:val="0036180A"/>
    <w:rsid w:val="00367DDC"/>
    <w:rsid w:val="003768E8"/>
    <w:rsid w:val="003829B1"/>
    <w:rsid w:val="00385140"/>
    <w:rsid w:val="00386EF3"/>
    <w:rsid w:val="00390676"/>
    <w:rsid w:val="00390E92"/>
    <w:rsid w:val="003A09BE"/>
    <w:rsid w:val="003A6B55"/>
    <w:rsid w:val="003D4846"/>
    <w:rsid w:val="003E10CB"/>
    <w:rsid w:val="004125CF"/>
    <w:rsid w:val="004162AC"/>
    <w:rsid w:val="00424011"/>
    <w:rsid w:val="00426E00"/>
    <w:rsid w:val="00451514"/>
    <w:rsid w:val="00461A54"/>
    <w:rsid w:val="00472C75"/>
    <w:rsid w:val="00473512"/>
    <w:rsid w:val="00487A08"/>
    <w:rsid w:val="004909FF"/>
    <w:rsid w:val="004A2885"/>
    <w:rsid w:val="004A7107"/>
    <w:rsid w:val="004B1B60"/>
    <w:rsid w:val="004B68FE"/>
    <w:rsid w:val="004C0013"/>
    <w:rsid w:val="004F5465"/>
    <w:rsid w:val="004F6773"/>
    <w:rsid w:val="00506264"/>
    <w:rsid w:val="005122B0"/>
    <w:rsid w:val="00534799"/>
    <w:rsid w:val="00543DB7"/>
    <w:rsid w:val="00554671"/>
    <w:rsid w:val="005611F3"/>
    <w:rsid w:val="0056662A"/>
    <w:rsid w:val="00567ADD"/>
    <w:rsid w:val="00580DF1"/>
    <w:rsid w:val="00590B3A"/>
    <w:rsid w:val="005968BF"/>
    <w:rsid w:val="005A61EA"/>
    <w:rsid w:val="005B3F35"/>
    <w:rsid w:val="005C5D97"/>
    <w:rsid w:val="005E13AA"/>
    <w:rsid w:val="005F42C2"/>
    <w:rsid w:val="005F758F"/>
    <w:rsid w:val="00601470"/>
    <w:rsid w:val="00615FC6"/>
    <w:rsid w:val="00617C00"/>
    <w:rsid w:val="0062043C"/>
    <w:rsid w:val="00621ACE"/>
    <w:rsid w:val="006245FF"/>
    <w:rsid w:val="00625ABE"/>
    <w:rsid w:val="006277E3"/>
    <w:rsid w:val="006315C3"/>
    <w:rsid w:val="006362BC"/>
    <w:rsid w:val="0064086B"/>
    <w:rsid w:val="006533EE"/>
    <w:rsid w:val="00660E57"/>
    <w:rsid w:val="00663175"/>
    <w:rsid w:val="0068585D"/>
    <w:rsid w:val="00695860"/>
    <w:rsid w:val="00695E53"/>
    <w:rsid w:val="00697AF1"/>
    <w:rsid w:val="006B7AD4"/>
    <w:rsid w:val="006C241E"/>
    <w:rsid w:val="006D3704"/>
    <w:rsid w:val="006E272A"/>
    <w:rsid w:val="006F0806"/>
    <w:rsid w:val="007006DE"/>
    <w:rsid w:val="00712F28"/>
    <w:rsid w:val="00720364"/>
    <w:rsid w:val="007411F4"/>
    <w:rsid w:val="00746650"/>
    <w:rsid w:val="00753442"/>
    <w:rsid w:val="00761761"/>
    <w:rsid w:val="00767ABE"/>
    <w:rsid w:val="00776B8E"/>
    <w:rsid w:val="0077714B"/>
    <w:rsid w:val="0078234B"/>
    <w:rsid w:val="0079329F"/>
    <w:rsid w:val="00797B5C"/>
    <w:rsid w:val="007A395B"/>
    <w:rsid w:val="007A6035"/>
    <w:rsid w:val="007B0FD2"/>
    <w:rsid w:val="007B66D3"/>
    <w:rsid w:val="007C798D"/>
    <w:rsid w:val="007F1EAC"/>
    <w:rsid w:val="0080143B"/>
    <w:rsid w:val="008020E1"/>
    <w:rsid w:val="00813BE7"/>
    <w:rsid w:val="00822461"/>
    <w:rsid w:val="0084493B"/>
    <w:rsid w:val="00852EC7"/>
    <w:rsid w:val="008604CE"/>
    <w:rsid w:val="008659F2"/>
    <w:rsid w:val="008A2A66"/>
    <w:rsid w:val="008A79DD"/>
    <w:rsid w:val="008B21AD"/>
    <w:rsid w:val="008C53DF"/>
    <w:rsid w:val="008E3696"/>
    <w:rsid w:val="008E5675"/>
    <w:rsid w:val="008F569D"/>
    <w:rsid w:val="008F5EDA"/>
    <w:rsid w:val="009020BC"/>
    <w:rsid w:val="00902946"/>
    <w:rsid w:val="00905926"/>
    <w:rsid w:val="00916244"/>
    <w:rsid w:val="009168B2"/>
    <w:rsid w:val="00933C71"/>
    <w:rsid w:val="009367E6"/>
    <w:rsid w:val="00936E9A"/>
    <w:rsid w:val="009616B2"/>
    <w:rsid w:val="00962E42"/>
    <w:rsid w:val="00971BCD"/>
    <w:rsid w:val="00971CFA"/>
    <w:rsid w:val="00976193"/>
    <w:rsid w:val="00983B0E"/>
    <w:rsid w:val="009A20E2"/>
    <w:rsid w:val="009C0C1B"/>
    <w:rsid w:val="009C492B"/>
    <w:rsid w:val="009C5024"/>
    <w:rsid w:val="009F5639"/>
    <w:rsid w:val="00A05289"/>
    <w:rsid w:val="00A06A36"/>
    <w:rsid w:val="00A10049"/>
    <w:rsid w:val="00A26CC3"/>
    <w:rsid w:val="00A36B5B"/>
    <w:rsid w:val="00A427F7"/>
    <w:rsid w:val="00AB2C66"/>
    <w:rsid w:val="00AB69EE"/>
    <w:rsid w:val="00AC47D8"/>
    <w:rsid w:val="00AD5155"/>
    <w:rsid w:val="00AE4CE5"/>
    <w:rsid w:val="00AE5720"/>
    <w:rsid w:val="00AE7F92"/>
    <w:rsid w:val="00AF1D5F"/>
    <w:rsid w:val="00B0018C"/>
    <w:rsid w:val="00B001D1"/>
    <w:rsid w:val="00B101D6"/>
    <w:rsid w:val="00B11148"/>
    <w:rsid w:val="00B14C92"/>
    <w:rsid w:val="00B21501"/>
    <w:rsid w:val="00B37D36"/>
    <w:rsid w:val="00B41C74"/>
    <w:rsid w:val="00B4659A"/>
    <w:rsid w:val="00B55F0F"/>
    <w:rsid w:val="00B6010A"/>
    <w:rsid w:val="00B645DA"/>
    <w:rsid w:val="00B806DB"/>
    <w:rsid w:val="00B835CC"/>
    <w:rsid w:val="00B85EDC"/>
    <w:rsid w:val="00B93F5F"/>
    <w:rsid w:val="00BE0E54"/>
    <w:rsid w:val="00BE59E2"/>
    <w:rsid w:val="00BF7164"/>
    <w:rsid w:val="00C11E39"/>
    <w:rsid w:val="00C26A48"/>
    <w:rsid w:val="00C30345"/>
    <w:rsid w:val="00C42351"/>
    <w:rsid w:val="00C67BA7"/>
    <w:rsid w:val="00C71BAA"/>
    <w:rsid w:val="00C9556D"/>
    <w:rsid w:val="00C968A4"/>
    <w:rsid w:val="00CB08F0"/>
    <w:rsid w:val="00CB4E13"/>
    <w:rsid w:val="00CB79B5"/>
    <w:rsid w:val="00CD4E6D"/>
    <w:rsid w:val="00CE52A7"/>
    <w:rsid w:val="00CE6AFF"/>
    <w:rsid w:val="00CF3EB7"/>
    <w:rsid w:val="00D22AFA"/>
    <w:rsid w:val="00D25A73"/>
    <w:rsid w:val="00D2658E"/>
    <w:rsid w:val="00D35B83"/>
    <w:rsid w:val="00D36B12"/>
    <w:rsid w:val="00D434F9"/>
    <w:rsid w:val="00D44657"/>
    <w:rsid w:val="00D73346"/>
    <w:rsid w:val="00D76919"/>
    <w:rsid w:val="00D802EB"/>
    <w:rsid w:val="00D808C8"/>
    <w:rsid w:val="00D92753"/>
    <w:rsid w:val="00DB34FA"/>
    <w:rsid w:val="00DB40A9"/>
    <w:rsid w:val="00DC2BE4"/>
    <w:rsid w:val="00DF67EC"/>
    <w:rsid w:val="00DF717A"/>
    <w:rsid w:val="00E05253"/>
    <w:rsid w:val="00E1094B"/>
    <w:rsid w:val="00E11B29"/>
    <w:rsid w:val="00E1389D"/>
    <w:rsid w:val="00E1504B"/>
    <w:rsid w:val="00E15BE5"/>
    <w:rsid w:val="00E176FF"/>
    <w:rsid w:val="00E30D1C"/>
    <w:rsid w:val="00E31A40"/>
    <w:rsid w:val="00E36708"/>
    <w:rsid w:val="00E36981"/>
    <w:rsid w:val="00E50FB0"/>
    <w:rsid w:val="00E53688"/>
    <w:rsid w:val="00E61A96"/>
    <w:rsid w:val="00E6224E"/>
    <w:rsid w:val="00E64D57"/>
    <w:rsid w:val="00E779B7"/>
    <w:rsid w:val="00EA0789"/>
    <w:rsid w:val="00EA093E"/>
    <w:rsid w:val="00EA6CF2"/>
    <w:rsid w:val="00ED262D"/>
    <w:rsid w:val="00ED2F3D"/>
    <w:rsid w:val="00ED638B"/>
    <w:rsid w:val="00ED77FF"/>
    <w:rsid w:val="00EE30D1"/>
    <w:rsid w:val="00EF2770"/>
    <w:rsid w:val="00EF379E"/>
    <w:rsid w:val="00F015AA"/>
    <w:rsid w:val="00F017A0"/>
    <w:rsid w:val="00F26222"/>
    <w:rsid w:val="00F3246E"/>
    <w:rsid w:val="00F3366D"/>
    <w:rsid w:val="00F45E5B"/>
    <w:rsid w:val="00F46BBD"/>
    <w:rsid w:val="00F56DB8"/>
    <w:rsid w:val="00F66A4C"/>
    <w:rsid w:val="00F76C48"/>
    <w:rsid w:val="00F77908"/>
    <w:rsid w:val="00F81356"/>
    <w:rsid w:val="00F973E5"/>
    <w:rsid w:val="00FB1667"/>
    <w:rsid w:val="00FB3AED"/>
    <w:rsid w:val="00FB6BB1"/>
    <w:rsid w:val="00FC1277"/>
    <w:rsid w:val="00FD3A45"/>
    <w:rsid w:val="00FF3DCB"/>
    <w:rsid w:val="00FF4601"/>
    <w:rsid w:val="00FF553A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6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675"/>
    <w:rPr>
      <w:rFonts w:ascii="Tahoma" w:eastAsia="Calibri" w:hAnsi="Tahoma" w:cs="Times New Roman"/>
      <w:sz w:val="16"/>
      <w:szCs w:val="16"/>
    </w:rPr>
  </w:style>
  <w:style w:type="paragraph" w:styleId="a5">
    <w:name w:val="Normal (Web)"/>
    <w:basedOn w:val="a"/>
    <w:uiPriority w:val="99"/>
    <w:unhideWhenUsed/>
    <w:rsid w:val="008E567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8E567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56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567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E56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5675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8E56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ED262D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basedOn w:val="a0"/>
    <w:link w:val="ac"/>
    <w:uiPriority w:val="1"/>
    <w:rsid w:val="00ED262D"/>
    <w:rPr>
      <w:rFonts w:eastAsia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pshina_en\Desktop\&#1051;&#1072;&#1087;&#1096;&#1080;&#1085;&#1072;%20&#1045;.&#1053;\&#1052;&#1055;%20&#1080;%20&#1042;&#1062;&#1055;\&#1043;&#1086;&#1076;&#1086;&#1074;&#1086;&#1081;%20&#1086;&#1090;&#1095;&#1077;&#1090;%20&#1052;&#1055;%20&#1080;%20&#1042;&#1062;&#1055;%20&#1079;&#1072;%202020%20&#1075;&#1086;&#1076;\&#1054;&#1090;&#1095;&#1077;&#1090;%20&#1052;&#1055;%20&#1080;%20&#1042;&#1062;&#1055;%202020,%20&#1080;&#1085;&#1076;&#1080;&#1082;&#1072;&#1090;&#1086;&#1088;&#1099;,%20&#1088;&#1077;&#1081;&#1090;&#1080;&#1085;&#107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pshina_en\Desktop\&#1051;&#1072;&#1087;&#1096;&#1080;&#1085;&#1072;%20&#1045;.&#1053;\&#1052;&#1055;%20&#1080;%20&#1042;&#1062;&#1055;\&#1043;&#1086;&#1076;&#1086;&#1074;&#1086;&#1081;%20&#1086;&#1090;&#1095;&#1077;&#1090;%20&#1052;&#1055;%20&#1080;%20&#1042;&#1062;&#1055;%20&#1079;&#1072;%202020%20&#1075;&#1086;&#1076;\&#1054;&#1090;&#1095;&#1077;&#1090;%20&#1052;&#1055;%20&#1080;%20&#1042;&#1062;&#1055;%202020,%20&#1080;&#1085;&#1076;&#1080;&#1082;&#1072;&#1090;&#1086;&#1088;&#1099;,%20&#1088;&#1077;&#1081;&#1090;&#1080;&#1085;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Финансирование МП и ВЦП</a:t>
            </a:r>
            <a:r>
              <a:rPr lang="ru-RU" baseline="0"/>
              <a:t> по отраслям, млн.</a:t>
            </a:r>
            <a:r>
              <a:rPr lang="en-US" baseline="0"/>
              <a:t> </a:t>
            </a:r>
            <a:r>
              <a:rPr lang="ru-RU" baseline="0"/>
              <a:t>руб. </a:t>
            </a:r>
            <a:endParaRPr lang="ru-RU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5.3037050144012894E-2"/>
          <c:y val="0.10884559950237434"/>
          <c:w val="0.56747659578989851"/>
          <c:h val="0.89082610964430631"/>
        </c:manualLayout>
      </c:layout>
      <c:pie3DChart>
        <c:varyColors val="1"/>
        <c:ser>
          <c:idx val="0"/>
          <c:order val="0"/>
          <c:dLbls>
            <c:showVal val="1"/>
            <c:showLeaderLines val="1"/>
          </c:dLbls>
          <c:cat>
            <c:strRef>
              <c:f>Отрасли!$H$5:$H$12</c:f>
              <c:strCache>
                <c:ptCount val="8"/>
                <c:pt idx="0">
                  <c:v>Образование, физическая культура и спорт, молодежная политика</c:v>
                </c:pt>
                <c:pt idx="1">
                  <c:v>Социальная поддержка населения </c:v>
                </c:pt>
                <c:pt idx="2">
                  <c:v>Культура и туризм </c:v>
                </c:pt>
                <c:pt idx="3">
                  <c:v>Содействие экономическому развитию</c:v>
                </c:pt>
                <c:pt idx="4">
                  <c:v>Жилищно-коммунальное хозяйство, инфрастуктура </c:v>
                </c:pt>
                <c:pt idx="5">
                  <c:v>Обеспечение доступным и комфортным жильём </c:v>
                </c:pt>
                <c:pt idx="6">
                  <c:v>Безопасность жизнедеятельности </c:v>
                </c:pt>
                <c:pt idx="7">
                  <c:v>Организация муниципального управления </c:v>
                </c:pt>
              </c:strCache>
            </c:strRef>
          </c:cat>
          <c:val>
            <c:numRef>
              <c:f>Отрасли!$I$5:$I$12</c:f>
              <c:numCache>
                <c:formatCode>0.00</c:formatCode>
                <c:ptCount val="8"/>
                <c:pt idx="0">
                  <c:v>3614.585059999999</c:v>
                </c:pt>
                <c:pt idx="1">
                  <c:v>1550.0853</c:v>
                </c:pt>
                <c:pt idx="2">
                  <c:v>284.37306999999993</c:v>
                </c:pt>
                <c:pt idx="3">
                  <c:v>2.7409820000000007</c:v>
                </c:pt>
                <c:pt idx="4">
                  <c:v>936.85229099999958</c:v>
                </c:pt>
                <c:pt idx="5">
                  <c:v>55.022290000000005</c:v>
                </c:pt>
                <c:pt idx="6">
                  <c:v>19.877800000000008</c:v>
                </c:pt>
                <c:pt idx="7">
                  <c:v>137.34616999999997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2060606060606061"/>
          <c:y val="0.18512910821879913"/>
          <c:w val="0.36484848484848525"/>
          <c:h val="0.79409482555040589"/>
        </c:manualLayout>
      </c:layout>
      <c:txPr>
        <a:bodyPr/>
        <a:lstStyle/>
        <a:p>
          <a:pPr>
            <a:defRPr sz="900"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rotY val="120"/>
      <c:perspective val="0"/>
    </c:view3D>
    <c:plotArea>
      <c:layout>
        <c:manualLayout>
          <c:layoutTarget val="inner"/>
          <c:xMode val="edge"/>
          <c:yMode val="edge"/>
          <c:x val="3.4394794400699917E-2"/>
          <c:y val="8.101851851851849E-2"/>
          <c:w val="0.56763823272090985"/>
          <c:h val="0.81944444444444464"/>
        </c:manualLayout>
      </c:layout>
      <c:pie3DChart>
        <c:varyColors val="1"/>
        <c:ser>
          <c:idx val="0"/>
          <c:order val="0"/>
          <c:explosion val="23"/>
          <c:dPt>
            <c:idx val="0"/>
            <c:explosion val="9"/>
          </c:dPt>
          <c:dPt>
            <c:idx val="1"/>
            <c:explosion val="0"/>
          </c:dPt>
          <c:dPt>
            <c:idx val="2"/>
            <c:explosion val="14"/>
          </c:dPt>
          <c:dPt>
            <c:idx val="3"/>
            <c:explosion val="2"/>
          </c:dPt>
          <c:dLbls>
            <c:showVal val="1"/>
            <c:showLeaderLines val="1"/>
          </c:dLbls>
          <c:cat>
            <c:strRef>
              <c:f>Отрасли!$H$36:$H$39</c:f>
              <c:strCache>
                <c:ptCount val="4"/>
                <c:pt idx="0">
                  <c:v>Городской бюджет </c:v>
                </c:pt>
                <c:pt idx="1">
                  <c:v>Областной бюджет</c:v>
                </c:pt>
                <c:pt idx="2">
                  <c:v>Федеральный бюджет </c:v>
                </c:pt>
                <c:pt idx="3">
                  <c:v>Другие источники </c:v>
                </c:pt>
              </c:strCache>
            </c:strRef>
          </c:cat>
          <c:val>
            <c:numRef>
              <c:f>Отрасли!$I$36:$I$39</c:f>
              <c:numCache>
                <c:formatCode>#,##0.00</c:formatCode>
                <c:ptCount val="4"/>
                <c:pt idx="0">
                  <c:v>1635.2464049999999</c:v>
                </c:pt>
                <c:pt idx="1">
                  <c:v>3355.1443230000004</c:v>
                </c:pt>
                <c:pt idx="2">
                  <c:v>1293.5725600000001</c:v>
                </c:pt>
                <c:pt idx="3">
                  <c:v>69.648769999999985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3031933508311522"/>
          <c:y val="0.17586030912802583"/>
          <c:w val="0.35301399825021906"/>
          <c:h val="0.6482793817439485"/>
        </c:manualLayout>
      </c:layout>
      <c:txPr>
        <a:bodyPr/>
        <a:lstStyle/>
        <a:p>
          <a:pPr>
            <a:defRPr sz="1400"/>
          </a:pPr>
          <a:endParaRPr lang="ru-RU"/>
        </a:p>
      </c:txPr>
    </c:legend>
    <c:plotVisOnly val="1"/>
  </c:chart>
  <c:txPr>
    <a:bodyPr/>
    <a:lstStyle/>
    <a:p>
      <a:pPr>
        <a:defRPr sz="1200"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62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t>Коэффициент привлечения средств вышестоящих бюджетов</a:t>
            </a:r>
          </a:p>
        </c:rich>
      </c:tx>
    </c:title>
    <c:plotArea>
      <c:layout/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1"/>
              <c:layout>
                <c:manualLayout>
                  <c:x val="-4.2260961436872734E-3"/>
                  <c:y val="-5.383022774327132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2260961436872704E-2"/>
                  <c:y val="-6.211180124223612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1130480718436345E-2"/>
                  <c:y val="-6.2111801242236121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3243528790279997E-2"/>
                  <c:y val="-5.383055378947195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014791336502898E-2"/>
                  <c:y val="-6.211180124223612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2260961436872704E-2"/>
                  <c:y val="-4.554865424430642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4374009508716401E-2"/>
                  <c:y val="-4.9689440993788823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2.58</c:v>
                </c:pt>
                <c:pt idx="1">
                  <c:v>1.49</c:v>
                </c:pt>
                <c:pt idx="2">
                  <c:v>0.93</c:v>
                </c:pt>
                <c:pt idx="3">
                  <c:v>1.49</c:v>
                </c:pt>
                <c:pt idx="4">
                  <c:v>1.6</c:v>
                </c:pt>
                <c:pt idx="5">
                  <c:v>1.75</c:v>
                </c:pt>
                <c:pt idx="6">
                  <c:v>1.85</c:v>
                </c:pt>
                <c:pt idx="7">
                  <c:v>2.25</c:v>
                </c:pt>
                <c:pt idx="8">
                  <c:v>2.52</c:v>
                </c:pt>
                <c:pt idx="9">
                  <c:v>2.96</c:v>
                </c:pt>
              </c:numCache>
            </c:numRef>
          </c:val>
        </c:ser>
        <c:marker val="1"/>
        <c:axId val="135290880"/>
        <c:axId val="135292416"/>
      </c:lineChart>
      <c:catAx>
        <c:axId val="135290880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5292416"/>
        <c:crosses val="autoZero"/>
        <c:auto val="1"/>
        <c:lblAlgn val="ctr"/>
        <c:lblOffset val="100"/>
      </c:catAx>
      <c:valAx>
        <c:axId val="135292416"/>
        <c:scaling>
          <c:orientation val="minMax"/>
        </c:scaling>
        <c:axPos val="l"/>
        <c:majorGridlines>
          <c:spPr>
            <a:ln w="0">
              <a:solidFill>
                <a:schemeClr val="bg1"/>
              </a:solidFill>
            </a:ln>
          </c:spPr>
        </c:majorGridlines>
        <c:numFmt formatCode="General" sourceLinked="1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5290880"/>
        <c:crosses val="autoZero"/>
        <c:crossBetween val="between"/>
      </c:valAx>
    </c:plotArea>
    <c:plotVisOnly val="1"/>
    <c:dispBlanksAs val="zero"/>
  </c:chart>
  <c:spPr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F44A24-3B9B-4051-835E-BD0870DA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РЕАЛИЗАЦИИ МУНИЦИПАЛЬНЫХ И ВЕДОМСТВЕННЫХ ЦЕЛЕВЫХ ПРОГРАММ</vt:lpstr>
    </vt:vector>
  </TitlesOfParts>
  <Company>Управление экономического развития и инвестиций</Company>
  <LinksUpToDate>false</LinksUpToDate>
  <CharactersWithSpaces>14057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РЕАЛИЗАЦИИ МУНИЦИПАЛЬНЫХ И ВЕДОМСТВЕННЫХ ЦЕЛЕВЫХ ПРОГРАММ</dc:title>
  <dc:creator>pokrovskaya_ev</dc:creator>
  <cp:lastModifiedBy>pokrovskaya_ev</cp:lastModifiedBy>
  <cp:revision>2</cp:revision>
  <cp:lastPrinted>2021-04-01T10:59:00Z</cp:lastPrinted>
  <dcterms:created xsi:type="dcterms:W3CDTF">2021-04-01T12:57:00Z</dcterms:created>
  <dcterms:modified xsi:type="dcterms:W3CDTF">2021-04-01T12:57:00Z</dcterms:modified>
</cp:coreProperties>
</file>